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8D28" w14:textId="3D353514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954D786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66743795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6C96088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6A49DA9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A53B24C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34AFC3C3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524CB556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10CB77DF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05AD4288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AA61483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246E5EFA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283652CA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3964FA15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6FCB7AFC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0698AF98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32D97BBC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F5CE92F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8D25F30" w14:textId="0A3CF1E3" w:rsidR="00040EDA" w:rsidRDefault="00AE1B33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  <w:r>
        <w:rPr>
          <w:noProof/>
        </w:rPr>
        <w:drawing>
          <wp:inline distT="0" distB="0" distL="0" distR="0" wp14:anchorId="53E8AAE2" wp14:editId="189431F0">
            <wp:extent cx="3266819" cy="1076325"/>
            <wp:effectExtent l="0" t="0" r="0" b="0"/>
            <wp:docPr id="1771865117" name="Picture 2" descr="Εικόνα που περιέχει γραφικά, γραμματοσειρά, στιγμιότυπο οθόνης, γραφιστικ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65117" name="Picture 2" descr="Εικόνα που περιέχει γραφικά, γραμματοσειρά, στιγμιότυπο οθόνης, γραφιστική&#10;&#10;Το περιεχόμενο που δημιουργείται από τεχνολογία AI ενδέχεται να είναι εσφαλμένο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84" cy="107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777E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5B8D90A2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FF9A68D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22CF77FA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637138DE" w14:textId="77777777" w:rsidR="00040EDA" w:rsidRPr="00040EDA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46CA3946" w14:textId="047C4C54" w:rsidR="00804BDF" w:rsidRPr="00380DF6" w:rsidRDefault="00804BDF" w:rsidP="00040EDA">
      <w:pPr>
        <w:widowControl w:val="0"/>
        <w:spacing w:line="276" w:lineRule="auto"/>
        <w:jc w:val="center"/>
        <w:textAlignment w:val="auto"/>
        <w:rPr>
          <w:rFonts w:ascii="Aptos" w:eastAsia="Calibri" w:hAnsi="Aptos" w:cs="Arial"/>
          <w:b/>
          <w:bCs/>
          <w:color w:val="0E2841"/>
          <w:kern w:val="0"/>
          <w:sz w:val="32"/>
          <w:szCs w:val="32"/>
          <w:lang w:eastAsia="en-US" w:bidi="ar-SA"/>
        </w:rPr>
      </w:pPr>
      <w:r w:rsidRPr="00804BDF">
        <w:rPr>
          <w:rFonts w:ascii="Aptos" w:eastAsia="Calibri" w:hAnsi="Aptos" w:cs="Arial" w:hint="eastAsia"/>
          <w:b/>
          <w:bCs/>
          <w:color w:val="0E2841"/>
          <w:kern w:val="0"/>
          <w:sz w:val="32"/>
          <w:szCs w:val="32"/>
          <w:lang w:eastAsia="en-US" w:bidi="ar-SA"/>
        </w:rPr>
        <w:t>Operation Regulation Impartiality Committee SERMI</w:t>
      </w:r>
    </w:p>
    <w:p w14:paraId="751E2949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4E4324FD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66534CDC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5476F688" w14:textId="2F43E3A1" w:rsidR="00040EDA" w:rsidRPr="00AC1624" w:rsidRDefault="00040EDA">
      <w:pPr>
        <w:rPr>
          <w:rFonts w:ascii="ψαλιβρι" w:hAnsi="ψαλιβρι" w:hint="eastAsia"/>
          <w:b/>
          <w:bCs/>
        </w:rPr>
      </w:pPr>
      <w:r>
        <w:rPr>
          <w:rFonts w:ascii="ψαλιβρι" w:hAnsi="ψαλιβρι" w:hint="eastAsia"/>
          <w:b/>
          <w:bCs/>
        </w:rPr>
        <w:br w:type="page"/>
      </w:r>
    </w:p>
    <w:p w14:paraId="5A805B13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66EDB248" w14:textId="77777777" w:rsidR="00212AF3" w:rsidRPr="00380DF6" w:rsidRDefault="00212AF3" w:rsidP="00212AF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1. Purpose</w:t>
      </w:r>
    </w:p>
    <w:p w14:paraId="47DD55F0" w14:textId="77777777" w:rsidR="00212AF3" w:rsidRPr="00CE7240" w:rsidRDefault="00212AF3" w:rsidP="00212A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l-GR"/>
        </w:rPr>
      </w:pPr>
      <w:r w:rsidRPr="00804BDF">
        <w:rPr>
          <w:rFonts w:ascii="DDT Book" w:hAnsi="DDT Book"/>
          <w:sz w:val="22"/>
          <w:szCs w:val="22"/>
        </w:rPr>
        <w:t>This regulation defines the composition, responsibilities, operating rules, and authority of the Impartiality Committee established by VALIDX AND ICDQ PARTNERS SRL in accordance with ISO/IEC 17020 requirements, specifically for ensuring impartiality in SERMI-related inspection activities.</w:t>
      </w:r>
      <w:r w:rsidRPr="00CE7240">
        <w:rPr>
          <w:rFonts w:ascii="Times New Roman" w:eastAsia="Times New Roman" w:hAnsi="Times New Roman" w:cs="Times New Roman"/>
          <w:lang w:eastAsia="el-GR"/>
        </w:rPr>
        <w:t xml:space="preserve"> </w:t>
      </w:r>
    </w:p>
    <w:p w14:paraId="1136B39A" w14:textId="77777777" w:rsidR="00212AF3" w:rsidRPr="00380DF6" w:rsidRDefault="00212AF3" w:rsidP="00212AF3">
      <w:pPr>
        <w:ind w:right="120"/>
        <w:jc w:val="both"/>
        <w:rPr>
          <w:rFonts w:ascii="DDT Book" w:hAnsi="DDT Book"/>
          <w:sz w:val="22"/>
          <w:szCs w:val="22"/>
        </w:rPr>
      </w:pPr>
    </w:p>
    <w:p w14:paraId="7A94E57F" w14:textId="77777777" w:rsidR="00212AF3" w:rsidRPr="00380DF6" w:rsidRDefault="00212AF3" w:rsidP="00212AF3">
      <w:pPr>
        <w:ind w:right="120"/>
        <w:rPr>
          <w:rFonts w:ascii="DDT Book" w:hAnsi="DDT Book"/>
          <w:sz w:val="22"/>
          <w:szCs w:val="22"/>
        </w:rPr>
      </w:pPr>
    </w:p>
    <w:p w14:paraId="3D352F13" w14:textId="77777777" w:rsidR="00212AF3" w:rsidRPr="00380DF6" w:rsidRDefault="00212AF3" w:rsidP="00212AF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2. Scope</w:t>
      </w:r>
    </w:p>
    <w:p w14:paraId="3C5BC225" w14:textId="77777777" w:rsidR="00212AF3" w:rsidRPr="00500119" w:rsidRDefault="00212AF3" w:rsidP="00212A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l-GR"/>
        </w:rPr>
      </w:pPr>
      <w:r w:rsidRPr="00804BDF">
        <w:rPr>
          <w:rFonts w:ascii="DDT Book" w:hAnsi="DDT Book"/>
          <w:sz w:val="22"/>
          <w:szCs w:val="22"/>
        </w:rPr>
        <w:t>This document applies to all activities of the Impartiality Committee related to the oversight of impartiality in inspection operations under the SERMI scheme.</w:t>
      </w:r>
    </w:p>
    <w:p w14:paraId="2733E1E8" w14:textId="77777777" w:rsidR="00212AF3" w:rsidRPr="00380DF6" w:rsidRDefault="00212AF3" w:rsidP="00212AF3">
      <w:pPr>
        <w:ind w:right="120"/>
        <w:jc w:val="both"/>
        <w:rPr>
          <w:rFonts w:ascii="DDT Book" w:hAnsi="DDT Book"/>
          <w:sz w:val="22"/>
          <w:szCs w:val="22"/>
        </w:rPr>
      </w:pPr>
    </w:p>
    <w:p w14:paraId="0C6E3A4E" w14:textId="77777777" w:rsidR="00212AF3" w:rsidRPr="00380DF6" w:rsidRDefault="00212AF3" w:rsidP="00212AF3">
      <w:pPr>
        <w:ind w:right="120"/>
        <w:rPr>
          <w:rFonts w:ascii="DDT Book" w:hAnsi="DDT Book"/>
          <w:sz w:val="22"/>
          <w:szCs w:val="22"/>
        </w:rPr>
      </w:pPr>
    </w:p>
    <w:p w14:paraId="7BBF7E93" w14:textId="77777777" w:rsidR="00212AF3" w:rsidRPr="00380DF6" w:rsidRDefault="00212AF3" w:rsidP="00212AF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3. Applicable References</w:t>
      </w:r>
    </w:p>
    <w:p w14:paraId="7C67CF1A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ISO/IEC 17020:2012 – Conformity assessment — Requirements for the operation of various types of bodies performing inspection</w:t>
      </w:r>
    </w:p>
    <w:p w14:paraId="35810278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SERMI Scheme Rules</w:t>
      </w:r>
    </w:p>
    <w:p w14:paraId="31489055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QMM – Quality Management Manual</w:t>
      </w:r>
    </w:p>
    <w:p w14:paraId="47D5E572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F.11 – Independence Declaration</w:t>
      </w:r>
    </w:p>
    <w:p w14:paraId="73D014B6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F.09 – Confidentiality Declaration</w:t>
      </w:r>
    </w:p>
    <w:p w14:paraId="10B78334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Bexel automation</w:t>
      </w:r>
    </w:p>
    <w:p w14:paraId="6B3129BF" w14:textId="77777777" w:rsidR="00212AF3" w:rsidRPr="00380DF6" w:rsidRDefault="00212AF3" w:rsidP="00212AF3">
      <w:pPr>
        <w:ind w:right="120"/>
        <w:rPr>
          <w:rFonts w:ascii="DDT Book" w:hAnsi="DDT Book"/>
          <w:sz w:val="22"/>
          <w:szCs w:val="22"/>
        </w:rPr>
      </w:pPr>
    </w:p>
    <w:p w14:paraId="581B65A4" w14:textId="77777777" w:rsidR="00212AF3" w:rsidRPr="00380DF6" w:rsidRDefault="00212AF3" w:rsidP="00212AF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4. </w:t>
      </w:r>
      <w:r>
        <w:rPr>
          <w:rFonts w:ascii="DDT Book" w:hAnsi="DDT Book"/>
          <w:b/>
          <w:bCs/>
          <w:color w:val="002060"/>
          <w:sz w:val="22"/>
          <w:szCs w:val="22"/>
        </w:rPr>
        <w:t>Composition</w:t>
      </w:r>
    </w:p>
    <w:p w14:paraId="2E173C17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The Committee shall consist of at least three (3) members representing different interests relevant to the SERMI scheme (e.g., technical experts, user representatives, legal advisors).</w:t>
      </w:r>
    </w:p>
    <w:p w14:paraId="4C690D54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Members must be independent from the inspection operational staff and shall not be involved in day-to-day inspection activities.</w:t>
      </w:r>
    </w:p>
    <w:p w14:paraId="75313A96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At least one member must be external to VALIDX AND ICDQ PARTNERS SRL.</w:t>
      </w:r>
    </w:p>
    <w:p w14:paraId="7CA17BFB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Members shall be appointed by the Technical Director and approved by the Managing Board.</w:t>
      </w:r>
    </w:p>
    <w:p w14:paraId="5A1E572D" w14:textId="77777777" w:rsidR="00212AF3" w:rsidRPr="00380DF6" w:rsidRDefault="00212AF3" w:rsidP="00212AF3">
      <w:pPr>
        <w:ind w:right="120"/>
        <w:rPr>
          <w:rFonts w:ascii="DDT Book" w:hAnsi="DDT Book"/>
          <w:sz w:val="22"/>
          <w:szCs w:val="22"/>
        </w:rPr>
      </w:pPr>
    </w:p>
    <w:p w14:paraId="59033116" w14:textId="77777777" w:rsidR="00212AF3" w:rsidRPr="00380DF6" w:rsidRDefault="00212AF3" w:rsidP="00212AF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5. </w:t>
      </w:r>
      <w:r>
        <w:rPr>
          <w:rFonts w:ascii="DDT Book" w:hAnsi="DDT Book"/>
          <w:b/>
          <w:bCs/>
          <w:color w:val="002060"/>
          <w:sz w:val="22"/>
          <w:szCs w:val="22"/>
        </w:rPr>
        <w:t>Responsibilities</w:t>
      </w:r>
    </w:p>
    <w:p w14:paraId="6A7F0DBA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Monitor compliance with the principles of impartiality as defined in ISO/IEC 17020.</w:t>
      </w:r>
    </w:p>
    <w:p w14:paraId="273E98A0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lastRenderedPageBreak/>
        <w:t>Evaluate potential risks to impartiality in the conduct of SERMI inspections.</w:t>
      </w:r>
    </w:p>
    <w:p w14:paraId="2771F5DD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Review independence declarations and conflict of interest records.</w:t>
      </w:r>
    </w:p>
    <w:p w14:paraId="59F1DA8D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Provide recommendations to top management regarding impartiality.</w:t>
      </w:r>
    </w:p>
    <w:p w14:paraId="2E5A4710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Report serious impartiality concerns or breaches to the Managing Board.</w:t>
      </w:r>
    </w:p>
    <w:p w14:paraId="5865039B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Participate in the annual impartiality risk analysis.</w:t>
      </w:r>
    </w:p>
    <w:p w14:paraId="3648467F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Provide consultation in cases where conflicts of interest are flagged during contract or application review.</w:t>
      </w:r>
    </w:p>
    <w:p w14:paraId="0DC55347" w14:textId="77777777" w:rsidR="00212AF3" w:rsidRPr="00380DF6" w:rsidRDefault="00212AF3" w:rsidP="00212AF3">
      <w:pPr>
        <w:ind w:right="120"/>
        <w:rPr>
          <w:rFonts w:ascii="DDT Book" w:hAnsi="DDT Book"/>
          <w:sz w:val="22"/>
          <w:szCs w:val="22"/>
        </w:rPr>
      </w:pPr>
    </w:p>
    <w:p w14:paraId="661875CD" w14:textId="77777777" w:rsidR="00212AF3" w:rsidRPr="00380DF6" w:rsidRDefault="00212AF3" w:rsidP="00212AF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6. </w:t>
      </w:r>
      <w:r>
        <w:rPr>
          <w:rFonts w:ascii="DDT Book" w:hAnsi="DDT Book"/>
          <w:b/>
          <w:bCs/>
          <w:color w:val="002060"/>
          <w:sz w:val="22"/>
          <w:szCs w:val="22"/>
        </w:rPr>
        <w:t>Operating Rules</w:t>
      </w:r>
    </w:p>
    <w:p w14:paraId="536C1D5A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The Committee shall meet at least once per year, or ad hoc in the event of a potential impartiality threat.</w:t>
      </w:r>
    </w:p>
    <w:p w14:paraId="75AEE467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Meetings can be held remotely via secure video conferencing.</w:t>
      </w:r>
    </w:p>
    <w:p w14:paraId="517D3409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A quorum is reached with the presence of 2/3 of the members.</w:t>
      </w:r>
    </w:p>
    <w:p w14:paraId="4B421768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Minutes of each meeting shall be formally recorded and signed.</w:t>
      </w:r>
    </w:p>
    <w:p w14:paraId="4188DE54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The Committee shall elect a Chairperson who will coordinate meetings and represent the committee.</w:t>
      </w:r>
    </w:p>
    <w:p w14:paraId="3AC6056C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Members must sign the F.09 Confidentiality Declaration and F.11 Independence Declaration before participation.</w:t>
      </w:r>
    </w:p>
    <w:p w14:paraId="59CACFF5" w14:textId="77777777" w:rsidR="00212AF3" w:rsidRPr="00380DF6" w:rsidRDefault="00212AF3" w:rsidP="00212AF3">
      <w:pPr>
        <w:ind w:right="120"/>
        <w:rPr>
          <w:rFonts w:ascii="DDT Book" w:hAnsi="DDT Book"/>
          <w:sz w:val="22"/>
          <w:szCs w:val="22"/>
        </w:rPr>
      </w:pPr>
    </w:p>
    <w:p w14:paraId="5498CE08" w14:textId="77777777" w:rsidR="00212AF3" w:rsidRPr="00380DF6" w:rsidRDefault="00212AF3" w:rsidP="00212AF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7. </w:t>
      </w:r>
      <w:r>
        <w:rPr>
          <w:rFonts w:ascii="DDT Book" w:hAnsi="DDT Book"/>
          <w:b/>
          <w:bCs/>
          <w:color w:val="002060"/>
          <w:sz w:val="22"/>
          <w:szCs w:val="22"/>
        </w:rPr>
        <w:t>Access to Information</w:t>
      </w:r>
    </w:p>
    <w:p w14:paraId="0524F58E" w14:textId="77777777" w:rsidR="00212AF3" w:rsidRPr="00804BDF" w:rsidRDefault="00212AF3" w:rsidP="00212AF3">
      <w:pPr>
        <w:suppressAutoHyphens w:val="0"/>
        <w:autoSpaceDN/>
        <w:spacing w:after="160" w:line="259" w:lineRule="auto"/>
        <w:ind w:right="120" w:firstLine="36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The Committee shall have access to:</w:t>
      </w:r>
    </w:p>
    <w:p w14:paraId="75ED0A98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Relevant inspection records,</w:t>
      </w:r>
    </w:p>
    <w:p w14:paraId="21BC6A66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Internal impartiality declarations,</w:t>
      </w:r>
    </w:p>
    <w:p w14:paraId="544A8439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Complaints or appeals related to conflicts of interest,</w:t>
      </w:r>
    </w:p>
    <w:p w14:paraId="49BF6F40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Internal audit results and management reviews related to impartiality,</w:t>
      </w:r>
    </w:p>
    <w:p w14:paraId="501BBD58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Documentation and communications related to contract/application review involving high-risk impartiality cases.</w:t>
      </w:r>
    </w:p>
    <w:p w14:paraId="533BC3AA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Bexel automation – to ensure that prevents inspectors from accessing assignments where potential conflicts are registered, ensuring compliance with ISO/IEC 17020 clause 6.1.5.</w:t>
      </w:r>
    </w:p>
    <w:p w14:paraId="36CE43C6" w14:textId="77777777" w:rsidR="00212AF3" w:rsidRPr="00380DF6" w:rsidRDefault="00212AF3" w:rsidP="00212AF3">
      <w:pPr>
        <w:ind w:right="120"/>
        <w:rPr>
          <w:rFonts w:ascii="DDT Book" w:hAnsi="DDT Book"/>
          <w:sz w:val="22"/>
          <w:szCs w:val="22"/>
        </w:rPr>
      </w:pPr>
    </w:p>
    <w:p w14:paraId="220AD5CD" w14:textId="77777777" w:rsidR="00212AF3" w:rsidRPr="00380DF6" w:rsidRDefault="00212AF3" w:rsidP="00212AF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8. </w:t>
      </w:r>
      <w:r>
        <w:rPr>
          <w:rFonts w:ascii="DDT Book" w:hAnsi="DDT Book"/>
          <w:b/>
          <w:bCs/>
          <w:color w:val="002060"/>
          <w:sz w:val="22"/>
          <w:szCs w:val="22"/>
        </w:rPr>
        <w:t xml:space="preserve">Review and </w:t>
      </w:r>
      <w:proofErr w:type="spellStart"/>
      <w:r>
        <w:rPr>
          <w:rFonts w:ascii="DDT Book" w:hAnsi="DDT Book"/>
          <w:b/>
          <w:bCs/>
          <w:color w:val="002060"/>
          <w:sz w:val="22"/>
          <w:szCs w:val="22"/>
        </w:rPr>
        <w:t>Reviision</w:t>
      </w:r>
      <w:proofErr w:type="spellEnd"/>
    </w:p>
    <w:p w14:paraId="14B8EF45" w14:textId="77777777" w:rsidR="00212AF3" w:rsidRPr="00804BDF" w:rsidRDefault="00212AF3" w:rsidP="00212AF3">
      <w:pPr>
        <w:spacing w:before="100" w:beforeAutospacing="1" w:after="100" w:afterAutospacing="1"/>
        <w:ind w:firstLine="709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This regulation shall be reviewed every two years or whenever significant changes occur in the SERMI scheme or ISO/IEC 17020 requirements.</w:t>
      </w:r>
    </w:p>
    <w:p w14:paraId="15BFDCB9" w14:textId="77777777" w:rsidR="00212AF3" w:rsidRPr="00380DF6" w:rsidRDefault="00212AF3" w:rsidP="00212AF3">
      <w:pPr>
        <w:ind w:right="120"/>
        <w:rPr>
          <w:rFonts w:ascii="DDT Book" w:hAnsi="DDT Book"/>
          <w:sz w:val="22"/>
          <w:szCs w:val="22"/>
        </w:rPr>
      </w:pPr>
    </w:p>
    <w:p w14:paraId="7C835096" w14:textId="77777777" w:rsidR="00212AF3" w:rsidRPr="00380DF6" w:rsidRDefault="00212AF3" w:rsidP="00212AF3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 xml:space="preserve">9. </w:t>
      </w:r>
      <w:r>
        <w:rPr>
          <w:rFonts w:ascii="DDT Book" w:hAnsi="DDT Book"/>
          <w:b/>
          <w:bCs/>
          <w:color w:val="002060"/>
          <w:sz w:val="22"/>
          <w:szCs w:val="22"/>
        </w:rPr>
        <w:t>Records</w:t>
      </w:r>
    </w:p>
    <w:p w14:paraId="54B79136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Meeting agendas and minutes</w:t>
      </w:r>
    </w:p>
    <w:p w14:paraId="214AB53D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Attendance records</w:t>
      </w:r>
    </w:p>
    <w:p w14:paraId="4A1798DC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Annual impartiality report</w:t>
      </w:r>
    </w:p>
    <w:p w14:paraId="06501681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Risk analysis reports</w:t>
      </w:r>
    </w:p>
    <w:p w14:paraId="497BF987" w14:textId="77777777" w:rsidR="00212AF3" w:rsidRPr="00804BDF" w:rsidRDefault="00212AF3" w:rsidP="00212AF3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jc w:val="both"/>
        <w:textAlignment w:val="auto"/>
        <w:rPr>
          <w:rFonts w:ascii="DDT Book" w:hAnsi="DDT Book"/>
          <w:sz w:val="22"/>
          <w:szCs w:val="22"/>
        </w:rPr>
      </w:pPr>
      <w:r w:rsidRPr="00804BDF">
        <w:rPr>
          <w:rFonts w:ascii="DDT Book" w:hAnsi="DDT Book"/>
          <w:sz w:val="22"/>
          <w:szCs w:val="22"/>
        </w:rPr>
        <w:t>Consultation opinions related to contract review impartiality checks</w:t>
      </w:r>
    </w:p>
    <w:p w14:paraId="02965104" w14:textId="77777777" w:rsidR="00CA176C" w:rsidRDefault="00CA176C" w:rsidP="00040EDA">
      <w:pPr>
        <w:pStyle w:val="Standard"/>
        <w:spacing w:line="360" w:lineRule="auto"/>
        <w:jc w:val="both"/>
        <w:rPr>
          <w:rFonts w:ascii="ψαλιβρι" w:hAnsi="ψαλιβρι" w:hint="eastAsia"/>
          <w:sz w:val="22"/>
          <w:szCs w:val="22"/>
        </w:rPr>
      </w:pPr>
    </w:p>
    <w:p w14:paraId="659FCCD2" w14:textId="77D62CD1" w:rsidR="00B6367D" w:rsidRDefault="00B6367D" w:rsidP="00B6367D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>
        <w:rPr>
          <w:rFonts w:ascii="DDT Book" w:hAnsi="DDT Book"/>
          <w:b/>
          <w:bCs/>
          <w:color w:val="002060"/>
          <w:sz w:val="22"/>
          <w:szCs w:val="22"/>
        </w:rPr>
        <w:t>10. Amendments</w:t>
      </w:r>
    </w:p>
    <w:p w14:paraId="17C29C53" w14:textId="77777777" w:rsidR="00B6367D" w:rsidRDefault="00B6367D" w:rsidP="00B6367D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32"/>
        <w:tblW w:w="11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964"/>
        <w:gridCol w:w="1984"/>
        <w:gridCol w:w="1843"/>
        <w:gridCol w:w="1276"/>
      </w:tblGrid>
      <w:tr w:rsidR="00B6367D" w:rsidRPr="00610659" w14:paraId="57486826" w14:textId="77777777" w:rsidTr="009E42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6CDA97B3" w14:textId="77777777" w:rsidR="00B6367D" w:rsidRPr="00B6367D" w:rsidRDefault="00B6367D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B6367D">
              <w:rPr>
                <w:rFonts w:ascii="DDT Book" w:hAnsi="DDT Book"/>
                <w:b/>
                <w:bCs/>
                <w:sz w:val="20"/>
                <w:szCs w:val="20"/>
              </w:rPr>
              <w:t>Edition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18FA9701" w14:textId="77777777" w:rsidR="00B6367D" w:rsidRPr="00B6367D" w:rsidRDefault="00B6367D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B6367D">
              <w:rPr>
                <w:rFonts w:ascii="DDT Book" w:hAnsi="DDT Book"/>
                <w:b/>
                <w:bCs/>
                <w:sz w:val="20"/>
                <w:szCs w:val="20"/>
              </w:rPr>
              <w:t>Chapter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607FC745" w14:textId="77777777" w:rsidR="00B6367D" w:rsidRPr="00B6367D" w:rsidRDefault="00B6367D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B6367D">
              <w:rPr>
                <w:rFonts w:ascii="DDT Book" w:hAnsi="DDT Book"/>
                <w:b/>
                <w:bCs/>
                <w:sz w:val="20"/>
                <w:szCs w:val="20"/>
              </w:rPr>
              <w:t>Cause &amp; signs of modification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hideMark/>
          </w:tcPr>
          <w:p w14:paraId="210C8DF7" w14:textId="77777777" w:rsidR="00B6367D" w:rsidRPr="00B6367D" w:rsidRDefault="00B6367D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B6367D">
              <w:rPr>
                <w:rFonts w:ascii="DDT Book" w:hAnsi="DDT Book"/>
                <w:b/>
                <w:bCs/>
                <w:sz w:val="20"/>
                <w:szCs w:val="20"/>
              </w:rPr>
              <w:t>Drafted 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79AF05C8" w14:textId="77777777" w:rsidR="00B6367D" w:rsidRPr="00B6367D" w:rsidRDefault="00B6367D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B6367D">
              <w:rPr>
                <w:rFonts w:ascii="DDT Book" w:hAnsi="DDT Book"/>
                <w:b/>
                <w:bCs/>
                <w:sz w:val="20"/>
                <w:szCs w:val="20"/>
              </w:rPr>
              <w:t>Approved 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hideMark/>
          </w:tcPr>
          <w:p w14:paraId="4A7DCDAE" w14:textId="77777777" w:rsidR="00B6367D" w:rsidRPr="00B6367D" w:rsidRDefault="00B6367D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B6367D">
              <w:rPr>
                <w:rFonts w:ascii="DDT Book" w:hAnsi="DDT Book"/>
                <w:b/>
                <w:bCs/>
                <w:sz w:val="20"/>
                <w:szCs w:val="20"/>
              </w:rPr>
              <w:t>Date</w:t>
            </w:r>
          </w:p>
        </w:tc>
      </w:tr>
      <w:tr w:rsidR="00B6367D" w:rsidRPr="00610659" w14:paraId="74AFA839" w14:textId="77777777" w:rsidTr="009E421A">
        <w:trPr>
          <w:trHeight w:val="379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0FD04EC7" w14:textId="61553603" w:rsidR="00B6367D" w:rsidRPr="00B6367D" w:rsidRDefault="003C4F05" w:rsidP="009E421A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>
              <w:rPr>
                <w:rFonts w:ascii="DDT Book" w:hAnsi="DDT Book"/>
                <w:sz w:val="20"/>
                <w:szCs w:val="20"/>
              </w:rPr>
              <w:t xml:space="preserve">v.1 -&gt; </w:t>
            </w:r>
            <w:r w:rsidRPr="003C4F05">
              <w:rPr>
                <w:rFonts w:ascii="DDT Book" w:hAnsi="DDT Book"/>
                <w:b/>
                <w:bCs/>
                <w:sz w:val="20"/>
                <w:szCs w:val="20"/>
              </w:rPr>
              <w:t>v.2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456ADB05" w14:textId="77777777" w:rsidR="00B6367D" w:rsidRPr="00B6367D" w:rsidRDefault="00B6367D" w:rsidP="009E421A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B6367D">
              <w:rPr>
                <w:rFonts w:ascii="DDT Book" w:hAnsi="DDT Book"/>
                <w:sz w:val="20"/>
                <w:szCs w:val="20"/>
              </w:rPr>
              <w:t>Overall</w:t>
            </w:r>
          </w:p>
        </w:tc>
        <w:tc>
          <w:tcPr>
            <w:tcW w:w="396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2F612788" w14:textId="77777777" w:rsidR="00B6367D" w:rsidRPr="00B6367D" w:rsidRDefault="00B6367D" w:rsidP="009E421A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B6367D">
              <w:rPr>
                <w:rFonts w:ascii="DDT Book" w:hAnsi="DDT Book"/>
                <w:sz w:val="20"/>
                <w:szCs w:val="20"/>
              </w:rPr>
              <w:t>Format Change and Group Structure Information Showcasing the relationship with the new entity VALIDX and the IMS Implementation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vAlign w:val="center"/>
            <w:hideMark/>
          </w:tcPr>
          <w:p w14:paraId="3D3668A5" w14:textId="77777777" w:rsidR="00B6367D" w:rsidRPr="00B6367D" w:rsidRDefault="00B6367D" w:rsidP="009E421A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B6367D">
              <w:rPr>
                <w:rFonts w:ascii="DDT Book" w:hAnsi="DDT Book"/>
                <w:sz w:val="20"/>
                <w:szCs w:val="20"/>
              </w:rPr>
              <w:t>Athanasios Arvanitis (Quality Manager)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6B594C6B" w14:textId="77777777" w:rsidR="00B6367D" w:rsidRPr="00B6367D" w:rsidRDefault="00B6367D" w:rsidP="009E421A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B6367D">
              <w:rPr>
                <w:rFonts w:ascii="DDT Book" w:hAnsi="DDT Book"/>
                <w:sz w:val="20"/>
                <w:szCs w:val="20"/>
              </w:rPr>
              <w:t>Angelos Koulouridis</w:t>
            </w:r>
          </w:p>
          <w:p w14:paraId="5BD593D7" w14:textId="77777777" w:rsidR="00B6367D" w:rsidRPr="00B6367D" w:rsidRDefault="00B6367D" w:rsidP="009E421A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B6367D">
              <w:rPr>
                <w:rFonts w:ascii="DDT Book" w:hAnsi="DDT Book"/>
                <w:sz w:val="20"/>
                <w:szCs w:val="20"/>
              </w:rPr>
              <w:t>Stergios Zarifidis</w:t>
            </w:r>
          </w:p>
          <w:p w14:paraId="2B957965" w14:textId="77777777" w:rsidR="00B6367D" w:rsidRPr="00B6367D" w:rsidRDefault="00B6367D" w:rsidP="009E421A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B6367D">
              <w:rPr>
                <w:rFonts w:ascii="DDT Book" w:hAnsi="DDT Book"/>
                <w:sz w:val="20"/>
                <w:szCs w:val="20"/>
              </w:rPr>
              <w:t>Sara Pellegrino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05EECD0" w14:textId="77777777" w:rsidR="00B6367D" w:rsidRPr="00B6367D" w:rsidRDefault="00B6367D" w:rsidP="009E421A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B6367D">
              <w:rPr>
                <w:rFonts w:ascii="DDT Book" w:hAnsi="DDT Book"/>
                <w:sz w:val="20"/>
                <w:szCs w:val="20"/>
              </w:rPr>
              <w:t>13/05/2025</w:t>
            </w:r>
          </w:p>
        </w:tc>
      </w:tr>
    </w:tbl>
    <w:p w14:paraId="69488FF3" w14:textId="77777777" w:rsidR="00B6367D" w:rsidRPr="00380DF6" w:rsidRDefault="00B6367D" w:rsidP="00B6367D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</w:p>
    <w:p w14:paraId="3077897F" w14:textId="77777777" w:rsidR="00B6367D" w:rsidRPr="00CA176C" w:rsidRDefault="00B6367D" w:rsidP="00040EDA">
      <w:pPr>
        <w:pStyle w:val="Standard"/>
        <w:spacing w:line="360" w:lineRule="auto"/>
        <w:jc w:val="both"/>
        <w:rPr>
          <w:rFonts w:ascii="ψαλιβρι" w:hAnsi="ψαλιβρι" w:hint="eastAsia"/>
          <w:sz w:val="22"/>
          <w:szCs w:val="22"/>
        </w:rPr>
      </w:pPr>
    </w:p>
    <w:sectPr w:rsidR="00B6367D" w:rsidRPr="00CA176C" w:rsidSect="005F6CF3">
      <w:headerReference w:type="default" r:id="rId11"/>
      <w:type w:val="continuous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A5CD" w14:textId="77777777" w:rsidR="000874B4" w:rsidRDefault="000874B4">
      <w:pPr>
        <w:rPr>
          <w:rFonts w:hint="eastAsia"/>
        </w:rPr>
      </w:pPr>
      <w:r>
        <w:separator/>
      </w:r>
    </w:p>
  </w:endnote>
  <w:endnote w:type="continuationSeparator" w:id="0">
    <w:p w14:paraId="1C769FCA" w14:textId="77777777" w:rsidR="000874B4" w:rsidRDefault="000874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ψαλιβρι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DT Book">
    <w:panose1 w:val="020B0506040000020004"/>
    <w:charset w:val="00"/>
    <w:family w:val="swiss"/>
    <w:pitch w:val="variable"/>
    <w:sig w:usb0="A00002EF" w:usb1="5000201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0A5EB" w14:textId="77777777" w:rsidR="000874B4" w:rsidRDefault="000874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374C28" w14:textId="77777777" w:rsidR="000874B4" w:rsidRDefault="000874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11052" w:type="dxa"/>
      <w:tblInd w:w="-714" w:type="dxa"/>
      <w:tblLook w:val="04A0" w:firstRow="1" w:lastRow="0" w:firstColumn="1" w:lastColumn="0" w:noHBand="0" w:noVBand="1"/>
    </w:tblPr>
    <w:tblGrid>
      <w:gridCol w:w="3156"/>
      <w:gridCol w:w="3909"/>
      <w:gridCol w:w="1513"/>
      <w:gridCol w:w="779"/>
      <w:gridCol w:w="587"/>
      <w:gridCol w:w="1108"/>
    </w:tblGrid>
    <w:tr w:rsidR="00B6367D" w:rsidRPr="001B7730" w14:paraId="07EEC5F0" w14:textId="77777777" w:rsidTr="00B6367D">
      <w:trPr>
        <w:trHeight w:val="137"/>
      </w:trPr>
      <w:tc>
        <w:tcPr>
          <w:tcW w:w="3156" w:type="dxa"/>
          <w:vMerge w:val="restart"/>
          <w:vAlign w:val="center"/>
        </w:tcPr>
        <w:p w14:paraId="5579B331" w14:textId="77777777" w:rsidR="00B6367D" w:rsidRPr="001B7730" w:rsidRDefault="00B6367D" w:rsidP="00B6367D">
          <w:pPr>
            <w:pStyle w:val="a7"/>
            <w:jc w:val="center"/>
            <w:rPr>
              <w:sz w:val="18"/>
              <w:szCs w:val="18"/>
            </w:rPr>
          </w:pPr>
          <w:bookmarkStart w:id="0" w:name="_Hlk198215961"/>
          <w:bookmarkStart w:id="1" w:name="_Hlk198208038"/>
          <w:r>
            <w:rPr>
              <w:noProof/>
              <w:lang w:val="el-GR" w:eastAsia="el-GR"/>
            </w:rPr>
            <w:drawing>
              <wp:inline distT="0" distB="0" distL="0" distR="0" wp14:anchorId="15609CF7" wp14:editId="36726C0C">
                <wp:extent cx="1864017" cy="614477"/>
                <wp:effectExtent l="0" t="0" r="3175" b="0"/>
                <wp:docPr id="278937097" name="Picture 2" descr="A blue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865117" name="Picture 2" descr="A blue text on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051" cy="629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14:paraId="38DC38F1" w14:textId="77777777" w:rsidR="00B6367D" w:rsidRPr="00E6330A" w:rsidRDefault="00B6367D" w:rsidP="00B6367D">
          <w:pPr>
            <w:pStyle w:val="a7"/>
            <w:jc w:val="center"/>
            <w:rPr>
              <w:b/>
              <w:bCs/>
              <w:sz w:val="18"/>
              <w:szCs w:val="18"/>
            </w:rPr>
          </w:pPr>
          <w:r w:rsidRPr="00E6330A">
            <w:rPr>
              <w:b/>
              <w:bCs/>
              <w:sz w:val="20"/>
              <w:szCs w:val="20"/>
            </w:rPr>
            <w:t>VALIDX Group</w:t>
          </w:r>
          <w:r>
            <w:rPr>
              <w:b/>
              <w:bCs/>
              <w:sz w:val="20"/>
              <w:szCs w:val="20"/>
            </w:rPr>
            <w:t xml:space="preserve"> Management System</w:t>
          </w:r>
        </w:p>
        <w:p w14:paraId="73813CBB" w14:textId="77777777" w:rsidR="00B6367D" w:rsidRPr="001B7730" w:rsidRDefault="00B6367D" w:rsidP="00B6367D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4003C134" w14:textId="77777777" w:rsidR="00B6367D" w:rsidRPr="001B7730" w:rsidRDefault="00B6367D" w:rsidP="00B6367D">
          <w:pPr>
            <w:pStyle w:val="a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Document Type:</w:t>
          </w:r>
        </w:p>
      </w:tc>
      <w:tc>
        <w:tcPr>
          <w:tcW w:w="2474" w:type="dxa"/>
          <w:gridSpan w:val="3"/>
          <w:vAlign w:val="center"/>
        </w:tcPr>
        <w:p w14:paraId="6B17B7B0" w14:textId="77777777" w:rsidR="00B6367D" w:rsidRPr="001B7730" w:rsidRDefault="00B6367D" w:rsidP="00B6367D">
          <w:pPr>
            <w:pStyle w:val="a7"/>
            <w:rPr>
              <w:sz w:val="18"/>
              <w:szCs w:val="18"/>
            </w:rPr>
          </w:pPr>
          <w:r w:rsidRPr="006D2EE2">
            <w:rPr>
              <w:sz w:val="18"/>
              <w:szCs w:val="18"/>
            </w:rPr>
            <w:t>Regulation</w:t>
          </w:r>
        </w:p>
      </w:tc>
    </w:tr>
    <w:bookmarkEnd w:id="0"/>
    <w:tr w:rsidR="00B6367D" w:rsidRPr="001B7730" w14:paraId="048FE376" w14:textId="77777777" w:rsidTr="00B6367D">
      <w:trPr>
        <w:trHeight w:val="137"/>
      </w:trPr>
      <w:tc>
        <w:tcPr>
          <w:tcW w:w="3156" w:type="dxa"/>
          <w:vMerge/>
          <w:vAlign w:val="center"/>
        </w:tcPr>
        <w:p w14:paraId="6E2C4A59" w14:textId="77777777" w:rsidR="00B6367D" w:rsidRPr="001B7730" w:rsidRDefault="00B6367D" w:rsidP="00B6367D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3909" w:type="dxa"/>
          <w:shd w:val="clear" w:color="auto" w:fill="F2F2F2" w:themeFill="background1" w:themeFillShade="F2"/>
          <w:vAlign w:val="center"/>
        </w:tcPr>
        <w:p w14:paraId="342D2115" w14:textId="77777777" w:rsidR="00B6367D" w:rsidRPr="001B7730" w:rsidRDefault="00B6367D" w:rsidP="00B6367D">
          <w:pPr>
            <w:pStyle w:val="a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Document Name</w:t>
          </w: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425AFA12" w14:textId="77777777" w:rsidR="00B6367D" w:rsidRPr="001B7730" w:rsidRDefault="00B6367D" w:rsidP="00B6367D">
          <w:pPr>
            <w:pStyle w:val="a7"/>
            <w:jc w:val="right"/>
            <w:rPr>
              <w:sz w:val="18"/>
              <w:szCs w:val="18"/>
            </w:rPr>
          </w:pPr>
          <w:r w:rsidRPr="001B7730">
            <w:rPr>
              <w:sz w:val="18"/>
              <w:szCs w:val="18"/>
            </w:rPr>
            <w:t>Implementation</w:t>
          </w:r>
          <w:r>
            <w:rPr>
              <w:sz w:val="18"/>
              <w:szCs w:val="18"/>
            </w:rPr>
            <w:t>:</w:t>
          </w:r>
        </w:p>
      </w:tc>
      <w:tc>
        <w:tcPr>
          <w:tcW w:w="2474" w:type="dxa"/>
          <w:gridSpan w:val="3"/>
          <w:vAlign w:val="center"/>
        </w:tcPr>
        <w:p w14:paraId="08642298" w14:textId="46466C8F" w:rsidR="00B6367D" w:rsidRPr="00E21260" w:rsidRDefault="00000000" w:rsidP="00B6367D">
          <w:pPr>
            <w:pStyle w:val="a7"/>
            <w:rPr>
              <w:sz w:val="18"/>
              <w:szCs w:val="18"/>
              <w:lang w:val="el-GR"/>
            </w:rPr>
          </w:pPr>
          <w:sdt>
            <w:sdtPr>
              <w:rPr>
                <w:sz w:val="18"/>
                <w:szCs w:val="18"/>
              </w:rPr>
              <w:id w:val="-3453292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B6367D">
                <w:rPr>
                  <w:rFonts w:ascii="MS Gothic" w:eastAsia="MS Gothic" w:hAnsi="MS Gothic" w:hint="eastAsia"/>
                  <w:sz w:val="18"/>
                  <w:szCs w:val="18"/>
                </w:rPr>
                <w:t>☒</w:t>
              </w:r>
            </w:sdtContent>
          </w:sdt>
          <w:r w:rsidR="00B6367D" w:rsidRPr="00F2208F">
            <w:rPr>
              <w:rFonts w:ascii="Arial" w:eastAsia="Times New Roman" w:hAnsi="Arial" w:cs="Arial"/>
              <w:sz w:val="16"/>
              <w:szCs w:val="16"/>
              <w:lang w:eastAsia="el-GR"/>
            </w:rPr>
            <w:t xml:space="preserve"> VALIDX | ICDQ Partners (IT)</w:t>
          </w:r>
        </w:p>
      </w:tc>
    </w:tr>
    <w:tr w:rsidR="00B6367D" w:rsidRPr="001B7730" w14:paraId="3064125D" w14:textId="77777777" w:rsidTr="00B6367D">
      <w:trPr>
        <w:trHeight w:val="137"/>
      </w:trPr>
      <w:tc>
        <w:tcPr>
          <w:tcW w:w="3156" w:type="dxa"/>
          <w:vMerge/>
          <w:vAlign w:val="center"/>
        </w:tcPr>
        <w:p w14:paraId="1F15C8DC" w14:textId="77777777" w:rsidR="00B6367D" w:rsidRPr="001B7730" w:rsidRDefault="00B6367D" w:rsidP="00B6367D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3909" w:type="dxa"/>
          <w:vMerge w:val="restart"/>
          <w:shd w:val="clear" w:color="auto" w:fill="0E2841" w:themeFill="text2"/>
          <w:vAlign w:val="center"/>
        </w:tcPr>
        <w:p w14:paraId="21C77318" w14:textId="07483A3E" w:rsidR="00B6367D" w:rsidRPr="00B6367D" w:rsidRDefault="00B6367D" w:rsidP="00B6367D">
          <w:pPr>
            <w:pStyle w:val="a7"/>
            <w:jc w:val="center"/>
            <w:rPr>
              <w:b/>
              <w:bCs/>
              <w:sz w:val="18"/>
              <w:szCs w:val="18"/>
            </w:rPr>
          </w:pPr>
          <w:r w:rsidRPr="00B6367D">
            <w:rPr>
              <w:b/>
              <w:bCs/>
              <w:color w:val="FFFFFF" w:themeColor="background1"/>
              <w:sz w:val="18"/>
              <w:szCs w:val="18"/>
            </w:rPr>
            <w:t>OPERATING REGULATION IMPARTIALITY COMMITTEE SERMI</w:t>
          </w: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7B972B05" w14:textId="77777777" w:rsidR="00B6367D" w:rsidRPr="001B7730" w:rsidRDefault="00B6367D" w:rsidP="00B6367D">
          <w:pPr>
            <w:pStyle w:val="a7"/>
            <w:jc w:val="right"/>
            <w:rPr>
              <w:sz w:val="18"/>
              <w:szCs w:val="18"/>
            </w:rPr>
          </w:pPr>
          <w:r w:rsidRPr="001B7730">
            <w:rPr>
              <w:sz w:val="18"/>
              <w:szCs w:val="18"/>
            </w:rPr>
            <w:t>VXMS Ref No</w:t>
          </w:r>
          <w:r>
            <w:rPr>
              <w:sz w:val="18"/>
              <w:szCs w:val="18"/>
            </w:rPr>
            <w:t>:</w:t>
          </w:r>
        </w:p>
      </w:tc>
      <w:tc>
        <w:tcPr>
          <w:tcW w:w="2474" w:type="dxa"/>
          <w:gridSpan w:val="3"/>
          <w:vAlign w:val="center"/>
        </w:tcPr>
        <w:p w14:paraId="715A4DB5" w14:textId="2FC8A4C8" w:rsidR="00B6367D" w:rsidRDefault="00B6367D" w:rsidP="00B6367D">
          <w:pPr>
            <w:pStyle w:val="a7"/>
            <w:rPr>
              <w:sz w:val="18"/>
              <w:szCs w:val="18"/>
            </w:rPr>
          </w:pPr>
          <w:r>
            <w:rPr>
              <w:sz w:val="18"/>
              <w:szCs w:val="18"/>
            </w:rPr>
            <w:t>GOR.07</w:t>
          </w:r>
        </w:p>
      </w:tc>
    </w:tr>
    <w:tr w:rsidR="00B6367D" w:rsidRPr="001B7730" w14:paraId="1B0B2394" w14:textId="77777777" w:rsidTr="00B6367D">
      <w:trPr>
        <w:trHeight w:val="137"/>
      </w:trPr>
      <w:tc>
        <w:tcPr>
          <w:tcW w:w="3156" w:type="dxa"/>
          <w:vMerge/>
          <w:vAlign w:val="center"/>
        </w:tcPr>
        <w:p w14:paraId="0A214C23" w14:textId="77777777" w:rsidR="00B6367D" w:rsidRPr="001B7730" w:rsidRDefault="00B6367D" w:rsidP="00B6367D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3909" w:type="dxa"/>
          <w:vMerge/>
          <w:shd w:val="clear" w:color="auto" w:fill="0E2841" w:themeFill="text2"/>
          <w:vAlign w:val="center"/>
        </w:tcPr>
        <w:p w14:paraId="3A727FBB" w14:textId="77777777" w:rsidR="00B6367D" w:rsidRPr="001B7730" w:rsidRDefault="00B6367D" w:rsidP="00B6367D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559AF86E" w14:textId="77777777" w:rsidR="00B6367D" w:rsidRPr="001B7730" w:rsidRDefault="00B6367D" w:rsidP="00B6367D">
          <w:pPr>
            <w:pStyle w:val="a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Version:</w:t>
          </w:r>
        </w:p>
      </w:tc>
      <w:tc>
        <w:tcPr>
          <w:tcW w:w="779" w:type="dxa"/>
          <w:vAlign w:val="center"/>
        </w:tcPr>
        <w:p w14:paraId="35398973" w14:textId="51C83DBD" w:rsidR="00B6367D" w:rsidRPr="001B7730" w:rsidRDefault="00B6367D" w:rsidP="00B6367D">
          <w:pPr>
            <w:pStyle w:val="a7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587" w:type="dxa"/>
          <w:shd w:val="clear" w:color="auto" w:fill="F2F2F2" w:themeFill="background1" w:themeFillShade="F2"/>
          <w:vAlign w:val="center"/>
        </w:tcPr>
        <w:p w14:paraId="7B5AD36C" w14:textId="77777777" w:rsidR="00B6367D" w:rsidRPr="001F27F5" w:rsidRDefault="00B6367D" w:rsidP="00B6367D">
          <w:pPr>
            <w:pStyle w:val="a7"/>
            <w:rPr>
              <w:color w:val="7F7F7F" w:themeColor="text1" w:themeTint="80"/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1108" w:type="dxa"/>
          <w:vAlign w:val="center"/>
        </w:tcPr>
        <w:p w14:paraId="666DBD7C" w14:textId="77777777" w:rsidR="00B6367D" w:rsidRPr="001B7730" w:rsidRDefault="00B6367D" w:rsidP="00B6367D">
          <w:pPr>
            <w:pStyle w:val="a7"/>
            <w:rPr>
              <w:sz w:val="18"/>
              <w:szCs w:val="18"/>
            </w:rPr>
          </w:pPr>
          <w:r w:rsidRPr="00F2071B">
            <w:rPr>
              <w:sz w:val="18"/>
              <w:szCs w:val="18"/>
            </w:rPr>
            <w:t>13/05/2025</w:t>
          </w:r>
        </w:p>
      </w:tc>
    </w:tr>
    <w:bookmarkEnd w:id="1"/>
  </w:tbl>
  <w:p w14:paraId="65A2AEFE" w14:textId="77777777" w:rsidR="00B6367D" w:rsidRDefault="00B6367D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A84"/>
    <w:multiLevelType w:val="multilevel"/>
    <w:tmpl w:val="32A4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66A0A"/>
    <w:multiLevelType w:val="multilevel"/>
    <w:tmpl w:val="94A6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B2345"/>
    <w:multiLevelType w:val="multilevel"/>
    <w:tmpl w:val="93B8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B65FD"/>
    <w:multiLevelType w:val="multilevel"/>
    <w:tmpl w:val="C634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81153"/>
    <w:multiLevelType w:val="multilevel"/>
    <w:tmpl w:val="8D3C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84111"/>
    <w:multiLevelType w:val="multilevel"/>
    <w:tmpl w:val="CB3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87C55"/>
    <w:multiLevelType w:val="multilevel"/>
    <w:tmpl w:val="1FD4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B27CE"/>
    <w:multiLevelType w:val="multilevel"/>
    <w:tmpl w:val="9BC6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C7DFE"/>
    <w:multiLevelType w:val="multilevel"/>
    <w:tmpl w:val="78C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0751C"/>
    <w:multiLevelType w:val="multilevel"/>
    <w:tmpl w:val="0E30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A5FB2"/>
    <w:multiLevelType w:val="multilevel"/>
    <w:tmpl w:val="19F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73121"/>
    <w:multiLevelType w:val="multilevel"/>
    <w:tmpl w:val="D3C4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E29C6"/>
    <w:multiLevelType w:val="multilevel"/>
    <w:tmpl w:val="76A4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33ED1"/>
    <w:multiLevelType w:val="multilevel"/>
    <w:tmpl w:val="1A6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57BC4"/>
    <w:multiLevelType w:val="multilevel"/>
    <w:tmpl w:val="C6F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B1E9F"/>
    <w:multiLevelType w:val="multilevel"/>
    <w:tmpl w:val="FBE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41D0B"/>
    <w:multiLevelType w:val="multilevel"/>
    <w:tmpl w:val="EE52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927D2"/>
    <w:multiLevelType w:val="multilevel"/>
    <w:tmpl w:val="9746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F3D14"/>
    <w:multiLevelType w:val="multilevel"/>
    <w:tmpl w:val="DD8A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113D3"/>
    <w:multiLevelType w:val="multilevel"/>
    <w:tmpl w:val="8596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61403"/>
    <w:multiLevelType w:val="multilevel"/>
    <w:tmpl w:val="B5D0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9637D"/>
    <w:multiLevelType w:val="multilevel"/>
    <w:tmpl w:val="F5A8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E1F86"/>
    <w:multiLevelType w:val="multilevel"/>
    <w:tmpl w:val="3944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5D33B4"/>
    <w:multiLevelType w:val="multilevel"/>
    <w:tmpl w:val="9880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9C4BBE"/>
    <w:multiLevelType w:val="multilevel"/>
    <w:tmpl w:val="E43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7D0143"/>
    <w:multiLevelType w:val="multilevel"/>
    <w:tmpl w:val="34D6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E6610"/>
    <w:multiLevelType w:val="multilevel"/>
    <w:tmpl w:val="8124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EF6C46"/>
    <w:multiLevelType w:val="multilevel"/>
    <w:tmpl w:val="F984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786645">
    <w:abstractNumId w:val="9"/>
  </w:num>
  <w:num w:numId="2" w16cid:durableId="1105660055">
    <w:abstractNumId w:val="18"/>
  </w:num>
  <w:num w:numId="3" w16cid:durableId="548735235">
    <w:abstractNumId w:val="16"/>
  </w:num>
  <w:num w:numId="4" w16cid:durableId="1640301736">
    <w:abstractNumId w:val="12"/>
  </w:num>
  <w:num w:numId="5" w16cid:durableId="863597879">
    <w:abstractNumId w:val="7"/>
  </w:num>
  <w:num w:numId="6" w16cid:durableId="1316108649">
    <w:abstractNumId w:val="17"/>
  </w:num>
  <w:num w:numId="7" w16cid:durableId="395782941">
    <w:abstractNumId w:val="5"/>
  </w:num>
  <w:num w:numId="8" w16cid:durableId="1195074629">
    <w:abstractNumId w:val="24"/>
  </w:num>
  <w:num w:numId="9" w16cid:durableId="126288435">
    <w:abstractNumId w:val="27"/>
  </w:num>
  <w:num w:numId="10" w16cid:durableId="2052611291">
    <w:abstractNumId w:val="10"/>
  </w:num>
  <w:num w:numId="11" w16cid:durableId="184248277">
    <w:abstractNumId w:val="8"/>
  </w:num>
  <w:num w:numId="12" w16cid:durableId="1939285954">
    <w:abstractNumId w:val="2"/>
  </w:num>
  <w:num w:numId="13" w16cid:durableId="2057849166">
    <w:abstractNumId w:val="14"/>
  </w:num>
  <w:num w:numId="14" w16cid:durableId="306016309">
    <w:abstractNumId w:val="4"/>
  </w:num>
  <w:num w:numId="15" w16cid:durableId="660085031">
    <w:abstractNumId w:val="21"/>
  </w:num>
  <w:num w:numId="16" w16cid:durableId="1710564601">
    <w:abstractNumId w:val="6"/>
  </w:num>
  <w:num w:numId="17" w16cid:durableId="594165807">
    <w:abstractNumId w:val="23"/>
  </w:num>
  <w:num w:numId="18" w16cid:durableId="1293754155">
    <w:abstractNumId w:val="25"/>
  </w:num>
  <w:num w:numId="19" w16cid:durableId="1659457987">
    <w:abstractNumId w:val="22"/>
  </w:num>
  <w:num w:numId="20" w16cid:durableId="395904566">
    <w:abstractNumId w:val="13"/>
  </w:num>
  <w:num w:numId="21" w16cid:durableId="998849337">
    <w:abstractNumId w:val="20"/>
  </w:num>
  <w:num w:numId="22" w16cid:durableId="1576479045">
    <w:abstractNumId w:val="0"/>
  </w:num>
  <w:num w:numId="23" w16cid:durableId="385615583">
    <w:abstractNumId w:val="3"/>
  </w:num>
  <w:num w:numId="24" w16cid:durableId="1653220153">
    <w:abstractNumId w:val="26"/>
  </w:num>
  <w:num w:numId="25" w16cid:durableId="1546722965">
    <w:abstractNumId w:val="19"/>
  </w:num>
  <w:num w:numId="26" w16cid:durableId="1076822391">
    <w:abstractNumId w:val="11"/>
  </w:num>
  <w:num w:numId="27" w16cid:durableId="1799375933">
    <w:abstractNumId w:val="15"/>
  </w:num>
  <w:num w:numId="28" w16cid:durableId="98031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4A"/>
    <w:rsid w:val="00040EDA"/>
    <w:rsid w:val="0008217D"/>
    <w:rsid w:val="000874B4"/>
    <w:rsid w:val="000E1B52"/>
    <w:rsid w:val="000F301B"/>
    <w:rsid w:val="0013582E"/>
    <w:rsid w:val="00212AF3"/>
    <w:rsid w:val="002A1E4A"/>
    <w:rsid w:val="002D034F"/>
    <w:rsid w:val="002D52F4"/>
    <w:rsid w:val="003157B1"/>
    <w:rsid w:val="003309F3"/>
    <w:rsid w:val="00380A3D"/>
    <w:rsid w:val="00380DF6"/>
    <w:rsid w:val="003C4F05"/>
    <w:rsid w:val="00407901"/>
    <w:rsid w:val="004B39B5"/>
    <w:rsid w:val="00585BB3"/>
    <w:rsid w:val="005C5AEE"/>
    <w:rsid w:val="005F6CF3"/>
    <w:rsid w:val="006426F7"/>
    <w:rsid w:val="00732CDC"/>
    <w:rsid w:val="007D10CA"/>
    <w:rsid w:val="00804BDF"/>
    <w:rsid w:val="008201AA"/>
    <w:rsid w:val="009716C0"/>
    <w:rsid w:val="00A65EDA"/>
    <w:rsid w:val="00A8066C"/>
    <w:rsid w:val="00AC1624"/>
    <w:rsid w:val="00AE1B33"/>
    <w:rsid w:val="00B43961"/>
    <w:rsid w:val="00B57618"/>
    <w:rsid w:val="00B6367D"/>
    <w:rsid w:val="00BB4641"/>
    <w:rsid w:val="00CA176C"/>
    <w:rsid w:val="00D549CF"/>
    <w:rsid w:val="00DD7975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F579"/>
  <w15:docId w15:val="{22F64D54-6AEE-428D-A4F8-DEA8828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a5">
    <w:name w:val="Placeholder Text"/>
    <w:basedOn w:val="a0"/>
    <w:uiPriority w:val="99"/>
    <w:semiHidden/>
    <w:rsid w:val="004B39B5"/>
    <w:rPr>
      <w:color w:val="666666"/>
    </w:rPr>
  </w:style>
  <w:style w:type="paragraph" w:styleId="Web">
    <w:name w:val="Normal (Web)"/>
    <w:basedOn w:val="a"/>
    <w:uiPriority w:val="99"/>
    <w:semiHidden/>
    <w:unhideWhenUsed/>
    <w:rsid w:val="00AC1624"/>
    <w:rPr>
      <w:rFonts w:ascii="Times New Roman" w:hAnsi="Times New Roman"/>
      <w:szCs w:val="21"/>
    </w:rPr>
  </w:style>
  <w:style w:type="paragraph" w:styleId="a6">
    <w:name w:val="List Paragraph"/>
    <w:basedOn w:val="a"/>
    <w:uiPriority w:val="34"/>
    <w:qFormat/>
    <w:rsid w:val="00380DF6"/>
    <w:pPr>
      <w:ind w:left="720"/>
      <w:contextualSpacing/>
    </w:pPr>
    <w:rPr>
      <w:szCs w:val="21"/>
    </w:rPr>
  </w:style>
  <w:style w:type="paragraph" w:styleId="a7">
    <w:name w:val="header"/>
    <w:basedOn w:val="a"/>
    <w:link w:val="Char"/>
    <w:uiPriority w:val="99"/>
    <w:unhideWhenUsed/>
    <w:rsid w:val="00B6367D"/>
    <w:pPr>
      <w:tabs>
        <w:tab w:val="center" w:pos="4513"/>
        <w:tab w:val="right" w:pos="9026"/>
      </w:tabs>
    </w:pPr>
    <w:rPr>
      <w:szCs w:val="21"/>
    </w:rPr>
  </w:style>
  <w:style w:type="character" w:customStyle="1" w:styleId="Char">
    <w:name w:val="Κεφαλίδα Char"/>
    <w:basedOn w:val="a0"/>
    <w:link w:val="a7"/>
    <w:uiPriority w:val="99"/>
    <w:rsid w:val="00B6367D"/>
    <w:rPr>
      <w:szCs w:val="21"/>
    </w:rPr>
  </w:style>
  <w:style w:type="paragraph" w:styleId="a8">
    <w:name w:val="footer"/>
    <w:basedOn w:val="a"/>
    <w:link w:val="Char0"/>
    <w:uiPriority w:val="99"/>
    <w:unhideWhenUsed/>
    <w:rsid w:val="00B6367D"/>
    <w:pPr>
      <w:tabs>
        <w:tab w:val="center" w:pos="4513"/>
        <w:tab w:val="right" w:pos="9026"/>
      </w:tabs>
    </w:pPr>
    <w:rPr>
      <w:szCs w:val="21"/>
    </w:rPr>
  </w:style>
  <w:style w:type="character" w:customStyle="1" w:styleId="Char0">
    <w:name w:val="Υποσέλιδο Char"/>
    <w:basedOn w:val="a0"/>
    <w:link w:val="a8"/>
    <w:uiPriority w:val="99"/>
    <w:rsid w:val="00B6367D"/>
    <w:rPr>
      <w:szCs w:val="21"/>
    </w:rPr>
  </w:style>
  <w:style w:type="table" w:styleId="a9">
    <w:name w:val="Table Grid"/>
    <w:basedOn w:val="a1"/>
    <w:uiPriority w:val="39"/>
    <w:rsid w:val="00B6367D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f90c8-c8a8-42c3-a551-9afa7221f529">
      <Terms xmlns="http://schemas.microsoft.com/office/infopath/2007/PartnerControls"/>
    </lcf76f155ced4ddcb4097134ff3c332f>
    <TaxCatchAll xmlns="47ed2232-7eff-43c0-b4e7-47cd7d0c9b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7AD94639A8A8341A1E1F23FC044F03C" ma:contentTypeVersion="14" ma:contentTypeDescription="Δημιουργία νέου εγγράφου" ma:contentTypeScope="" ma:versionID="61c780fddd61c3ee499a0fe2794a1c85">
  <xsd:schema xmlns:xsd="http://www.w3.org/2001/XMLSchema" xmlns:xs="http://www.w3.org/2001/XMLSchema" xmlns:p="http://schemas.microsoft.com/office/2006/metadata/properties" xmlns:ns2="beaf90c8-c8a8-42c3-a551-9afa7221f529" xmlns:ns3="47ed2232-7eff-43c0-b4e7-47cd7d0c9bfb" targetNamespace="http://schemas.microsoft.com/office/2006/metadata/properties" ma:root="true" ma:fieldsID="9829b2a90444c9a4e844c68c947dc6a8" ns2:_="" ns3:_="">
    <xsd:import namespace="beaf90c8-c8a8-42c3-a551-9afa7221f529"/>
    <xsd:import namespace="47ed2232-7eff-43c0-b4e7-47cd7d0c9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90c8-c8a8-42c3-a551-9afa7221f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63ae62c-3691-43bd-bde7-6b25f6d9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2232-7eff-43c0-b4e7-47cd7d0c9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99b0ef-3d27-4ada-b351-d2888f7570f5}" ma:internalName="TaxCatchAll" ma:showField="CatchAllData" ma:web="47ed2232-7eff-43c0-b4e7-47cd7d0c9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25A79-65BA-48D9-B175-2F24FEAF7DFD}">
  <ds:schemaRefs>
    <ds:schemaRef ds:uri="http://schemas.microsoft.com/office/2006/metadata/properties"/>
    <ds:schemaRef ds:uri="http://schemas.microsoft.com/office/infopath/2007/PartnerControls"/>
    <ds:schemaRef ds:uri="beaf90c8-c8a8-42c3-a551-9afa7221f529"/>
    <ds:schemaRef ds:uri="47ed2232-7eff-43c0-b4e7-47cd7d0c9bfb"/>
  </ds:schemaRefs>
</ds:datastoreItem>
</file>

<file path=customXml/itemProps2.xml><?xml version="1.0" encoding="utf-8"?>
<ds:datastoreItem xmlns:ds="http://schemas.openxmlformats.org/officeDocument/2006/customXml" ds:itemID="{8846AAE8-D97D-4605-81FE-C5BD0EE3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f90c8-c8a8-42c3-a551-9afa7221f529"/>
    <ds:schemaRef ds:uri="47ed2232-7eff-43c0-b4e7-47cd7d0c9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8BAEC-5F02-4073-9797-D6AC1888F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 Arvanitis</dc:creator>
  <cp:lastModifiedBy>Athanasios Arvanitis</cp:lastModifiedBy>
  <cp:revision>15</cp:revision>
  <dcterms:created xsi:type="dcterms:W3CDTF">2024-10-14T19:33:00Z</dcterms:created>
  <dcterms:modified xsi:type="dcterms:W3CDTF">2025-05-17T08:11:00Z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0x01010047AD94639A8A8341A1E1F23FC044F03C</vt:lpwstr>
  </property>
</Properties>
</file>