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E8D28" w14:textId="3D353514" w:rsidR="00040EDA" w:rsidRDefault="00040EDA">
      <w:pPr>
        <w:pStyle w:val="Standard"/>
        <w:jc w:val="center"/>
        <w:rPr>
          <w:rFonts w:ascii="ψαλιβρι" w:hAnsi="ψαλιβρι" w:hint="eastAsia"/>
          <w:b/>
          <w:bCs/>
          <w:lang w:val="el-GR"/>
        </w:rPr>
      </w:pPr>
    </w:p>
    <w:p w14:paraId="4954D786" w14:textId="77777777" w:rsidR="00040EDA" w:rsidRDefault="00040EDA">
      <w:pPr>
        <w:pStyle w:val="Standard"/>
        <w:jc w:val="center"/>
        <w:rPr>
          <w:rFonts w:ascii="ψαλιβρι" w:hAnsi="ψαλιβρι" w:hint="eastAsia"/>
          <w:b/>
          <w:bCs/>
          <w:lang w:val="el-GR"/>
        </w:rPr>
      </w:pPr>
    </w:p>
    <w:p w14:paraId="66743795" w14:textId="77777777" w:rsidR="00040EDA" w:rsidRDefault="00040EDA">
      <w:pPr>
        <w:pStyle w:val="Standard"/>
        <w:jc w:val="center"/>
        <w:rPr>
          <w:rFonts w:ascii="ψαλιβρι" w:hAnsi="ψαλιβρι" w:hint="eastAsia"/>
          <w:b/>
          <w:bCs/>
          <w:lang w:val="el-GR"/>
        </w:rPr>
      </w:pPr>
    </w:p>
    <w:p w14:paraId="76C96088" w14:textId="77777777" w:rsidR="00040EDA" w:rsidRDefault="00040EDA">
      <w:pPr>
        <w:pStyle w:val="Standard"/>
        <w:jc w:val="center"/>
        <w:rPr>
          <w:rFonts w:ascii="ψαλιβρι" w:hAnsi="ψαλιβρι" w:hint="eastAsia"/>
          <w:b/>
          <w:bCs/>
          <w:lang w:val="el-GR"/>
        </w:rPr>
      </w:pPr>
    </w:p>
    <w:p w14:paraId="76A49DA9" w14:textId="77777777" w:rsidR="00040EDA" w:rsidRDefault="00040EDA">
      <w:pPr>
        <w:pStyle w:val="Standard"/>
        <w:jc w:val="center"/>
        <w:rPr>
          <w:rFonts w:ascii="ψαλιβρι" w:hAnsi="ψαλιβρι" w:hint="eastAsia"/>
          <w:b/>
          <w:bCs/>
          <w:lang w:val="el-GR"/>
        </w:rPr>
      </w:pPr>
    </w:p>
    <w:p w14:paraId="7A53B24C" w14:textId="77777777" w:rsidR="00040EDA" w:rsidRDefault="00040EDA">
      <w:pPr>
        <w:pStyle w:val="Standard"/>
        <w:jc w:val="center"/>
        <w:rPr>
          <w:rFonts w:ascii="ψαλιβρι" w:hAnsi="ψαλιβρι" w:hint="eastAsia"/>
          <w:b/>
          <w:bCs/>
          <w:lang w:val="el-GR"/>
        </w:rPr>
      </w:pPr>
    </w:p>
    <w:p w14:paraId="34AFC3C3" w14:textId="77777777" w:rsidR="00040EDA" w:rsidRDefault="00040EDA">
      <w:pPr>
        <w:pStyle w:val="Standard"/>
        <w:jc w:val="center"/>
        <w:rPr>
          <w:rFonts w:ascii="ψαλιβρι" w:hAnsi="ψαλιβρι" w:hint="eastAsia"/>
          <w:b/>
          <w:bCs/>
          <w:lang w:val="el-GR"/>
        </w:rPr>
      </w:pPr>
    </w:p>
    <w:p w14:paraId="524CB556" w14:textId="77777777" w:rsidR="00040EDA" w:rsidRDefault="00040EDA">
      <w:pPr>
        <w:pStyle w:val="Standard"/>
        <w:jc w:val="center"/>
        <w:rPr>
          <w:rFonts w:ascii="ψαλιβρι" w:hAnsi="ψαλιβρι" w:hint="eastAsia"/>
          <w:b/>
          <w:bCs/>
          <w:lang w:val="el-GR"/>
        </w:rPr>
      </w:pPr>
    </w:p>
    <w:p w14:paraId="10CB77DF" w14:textId="77777777" w:rsidR="00040EDA" w:rsidRDefault="00040EDA">
      <w:pPr>
        <w:pStyle w:val="Standard"/>
        <w:jc w:val="center"/>
        <w:rPr>
          <w:rFonts w:ascii="ψαλιβρι" w:hAnsi="ψαλιβρι" w:hint="eastAsia"/>
          <w:b/>
          <w:bCs/>
          <w:lang w:val="el-GR"/>
        </w:rPr>
      </w:pPr>
    </w:p>
    <w:p w14:paraId="05AD4288" w14:textId="77777777" w:rsidR="00040EDA" w:rsidRDefault="00040EDA">
      <w:pPr>
        <w:pStyle w:val="Standard"/>
        <w:jc w:val="center"/>
        <w:rPr>
          <w:rFonts w:ascii="ψαλιβρι" w:hAnsi="ψαλιβρι" w:hint="eastAsia"/>
          <w:b/>
          <w:bCs/>
          <w:lang w:val="el-GR"/>
        </w:rPr>
      </w:pPr>
    </w:p>
    <w:p w14:paraId="7AA61483" w14:textId="77777777" w:rsidR="00040EDA" w:rsidRDefault="00040EDA">
      <w:pPr>
        <w:pStyle w:val="Standard"/>
        <w:jc w:val="center"/>
        <w:rPr>
          <w:rFonts w:ascii="ψαλιβρι" w:hAnsi="ψαλιβρι" w:hint="eastAsia"/>
          <w:b/>
          <w:bCs/>
          <w:lang w:val="el-GR"/>
        </w:rPr>
      </w:pPr>
    </w:p>
    <w:p w14:paraId="246E5EFA" w14:textId="77777777" w:rsidR="00040EDA" w:rsidRDefault="00040EDA">
      <w:pPr>
        <w:pStyle w:val="Standard"/>
        <w:jc w:val="center"/>
        <w:rPr>
          <w:rFonts w:ascii="ψαλιβρι" w:hAnsi="ψαλιβρι" w:hint="eastAsia"/>
          <w:b/>
          <w:bCs/>
          <w:lang w:val="el-GR"/>
        </w:rPr>
      </w:pPr>
    </w:p>
    <w:p w14:paraId="283652CA" w14:textId="77777777" w:rsidR="00040EDA" w:rsidRDefault="00040EDA">
      <w:pPr>
        <w:pStyle w:val="Standard"/>
        <w:jc w:val="center"/>
        <w:rPr>
          <w:rFonts w:ascii="ψαλιβρι" w:hAnsi="ψαλιβρι" w:hint="eastAsia"/>
          <w:b/>
          <w:bCs/>
          <w:lang w:val="el-GR"/>
        </w:rPr>
      </w:pPr>
    </w:p>
    <w:p w14:paraId="3964FA15" w14:textId="77777777" w:rsidR="00040EDA" w:rsidRDefault="00040EDA">
      <w:pPr>
        <w:pStyle w:val="Standard"/>
        <w:jc w:val="center"/>
        <w:rPr>
          <w:rFonts w:ascii="ψαλιβρι" w:hAnsi="ψαλιβρι" w:hint="eastAsia"/>
          <w:b/>
          <w:bCs/>
          <w:lang w:val="el-GR"/>
        </w:rPr>
      </w:pPr>
    </w:p>
    <w:p w14:paraId="6FCB7AFC" w14:textId="77777777" w:rsidR="00040EDA" w:rsidRDefault="00040EDA">
      <w:pPr>
        <w:pStyle w:val="Standard"/>
        <w:jc w:val="center"/>
        <w:rPr>
          <w:rFonts w:ascii="ψαλιβρι" w:hAnsi="ψαλιβρι" w:hint="eastAsia"/>
          <w:b/>
          <w:bCs/>
          <w:lang w:val="el-GR"/>
        </w:rPr>
      </w:pPr>
    </w:p>
    <w:p w14:paraId="0698AF98" w14:textId="77777777" w:rsidR="00040EDA" w:rsidRDefault="00040EDA">
      <w:pPr>
        <w:pStyle w:val="Standard"/>
        <w:jc w:val="center"/>
        <w:rPr>
          <w:rFonts w:ascii="ψαλιβρι" w:hAnsi="ψαλιβρι" w:hint="eastAsia"/>
          <w:b/>
          <w:bCs/>
          <w:lang w:val="el-GR"/>
        </w:rPr>
      </w:pPr>
    </w:p>
    <w:p w14:paraId="32D97BBC" w14:textId="77777777" w:rsidR="00040EDA" w:rsidRDefault="00040EDA">
      <w:pPr>
        <w:pStyle w:val="Standard"/>
        <w:jc w:val="center"/>
        <w:rPr>
          <w:rFonts w:ascii="ψαλιβρι" w:hAnsi="ψαλιβρι" w:hint="eastAsia"/>
          <w:b/>
          <w:bCs/>
          <w:lang w:val="el-GR"/>
        </w:rPr>
      </w:pPr>
    </w:p>
    <w:p w14:paraId="4F5CE92F" w14:textId="77777777" w:rsidR="00040EDA" w:rsidRDefault="00040EDA">
      <w:pPr>
        <w:pStyle w:val="Standard"/>
        <w:jc w:val="center"/>
        <w:rPr>
          <w:rFonts w:ascii="ψαλιβρι" w:hAnsi="ψαλιβρι" w:hint="eastAsia"/>
          <w:b/>
          <w:bCs/>
          <w:lang w:val="el-GR"/>
        </w:rPr>
      </w:pPr>
    </w:p>
    <w:p w14:paraId="78D25F30" w14:textId="2F40A054" w:rsidR="00040EDA" w:rsidRDefault="00B92816">
      <w:pPr>
        <w:pStyle w:val="Standard"/>
        <w:jc w:val="center"/>
        <w:rPr>
          <w:rFonts w:ascii="ψαλιβρι" w:hAnsi="ψαλιβρι" w:hint="eastAsia"/>
          <w:b/>
          <w:bCs/>
          <w:lang w:val="el-GR"/>
        </w:rPr>
      </w:pPr>
      <w:r>
        <w:rPr>
          <w:noProof/>
          <w:lang w:val="it-IT" w:eastAsia="it-IT" w:bidi="ar-SA"/>
        </w:rPr>
        <w:drawing>
          <wp:inline distT="0" distB="0" distL="0" distR="0" wp14:anchorId="5D5386C3" wp14:editId="4CF580FD">
            <wp:extent cx="3555365" cy="1171575"/>
            <wp:effectExtent l="0" t="0" r="0" b="0"/>
            <wp:docPr id="1771865117" name="Picture 2" descr="Εικόνα που περιέχει γραφικά, γραμματοσειρά, στιγμιότυπο οθόνης, γραφιστική&#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65117" name="Picture 2" descr="Εικόνα που περιέχει γραφικά, γραμματοσειρά, στιγμιότυπο οθόνης, γραφιστική&#10;&#10;Το περιεχόμενο που δημιουργείται από τεχνολογία AI ενδέχεται να είναι εσφαλμένο."/>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5365" cy="1171575"/>
                    </a:xfrm>
                    <a:prstGeom prst="rect">
                      <a:avLst/>
                    </a:prstGeom>
                    <a:noFill/>
                    <a:ln>
                      <a:noFill/>
                    </a:ln>
                  </pic:spPr>
                </pic:pic>
              </a:graphicData>
            </a:graphic>
          </wp:inline>
        </w:drawing>
      </w:r>
    </w:p>
    <w:p w14:paraId="7DD7777E" w14:textId="77777777" w:rsidR="00040EDA" w:rsidRDefault="00040EDA">
      <w:pPr>
        <w:pStyle w:val="Standard"/>
        <w:jc w:val="center"/>
        <w:rPr>
          <w:rFonts w:ascii="ψαλιβρι" w:hAnsi="ψαλιβρι" w:hint="eastAsia"/>
          <w:b/>
          <w:bCs/>
          <w:lang w:val="el-GR"/>
        </w:rPr>
      </w:pPr>
    </w:p>
    <w:p w14:paraId="5B8D90A2" w14:textId="77777777" w:rsidR="00040EDA" w:rsidRDefault="00040EDA">
      <w:pPr>
        <w:pStyle w:val="Standard"/>
        <w:jc w:val="center"/>
        <w:rPr>
          <w:rFonts w:ascii="ψαλιβρι" w:hAnsi="ψαλιβρι" w:hint="eastAsia"/>
          <w:b/>
          <w:bCs/>
          <w:lang w:val="el-GR"/>
        </w:rPr>
      </w:pPr>
    </w:p>
    <w:p w14:paraId="4FF9A68D" w14:textId="77777777" w:rsidR="00040EDA" w:rsidRDefault="00040EDA">
      <w:pPr>
        <w:pStyle w:val="Standard"/>
        <w:jc w:val="center"/>
        <w:rPr>
          <w:rFonts w:ascii="ψαλιβρι" w:hAnsi="ψαλιβρι" w:hint="eastAsia"/>
          <w:b/>
          <w:bCs/>
          <w:lang w:val="el-GR"/>
        </w:rPr>
      </w:pPr>
    </w:p>
    <w:p w14:paraId="22CF77FA" w14:textId="77777777" w:rsidR="00040EDA" w:rsidRDefault="00040EDA">
      <w:pPr>
        <w:pStyle w:val="Standard"/>
        <w:jc w:val="center"/>
        <w:rPr>
          <w:rFonts w:ascii="ψαλιβρι" w:hAnsi="ψαλιβρι" w:hint="eastAsia"/>
          <w:b/>
          <w:bCs/>
        </w:rPr>
      </w:pPr>
    </w:p>
    <w:p w14:paraId="637138DE" w14:textId="77777777" w:rsidR="00040EDA" w:rsidRPr="00040EDA" w:rsidRDefault="00040EDA">
      <w:pPr>
        <w:pStyle w:val="Standard"/>
        <w:jc w:val="center"/>
        <w:rPr>
          <w:rFonts w:ascii="ψαλιβρι" w:hAnsi="ψαλιβρι" w:hint="eastAsia"/>
          <w:b/>
          <w:bCs/>
        </w:rPr>
      </w:pPr>
    </w:p>
    <w:p w14:paraId="3A4F439F" w14:textId="77777777" w:rsidR="00040EDA" w:rsidRDefault="00040EDA">
      <w:pPr>
        <w:pStyle w:val="Standard"/>
        <w:jc w:val="center"/>
        <w:rPr>
          <w:rFonts w:ascii="ψαλιβρι" w:hAnsi="ψαλιβρι" w:hint="eastAsia"/>
          <w:b/>
          <w:bCs/>
          <w:lang w:val="el-GR"/>
        </w:rPr>
      </w:pPr>
    </w:p>
    <w:p w14:paraId="16AD3802" w14:textId="4F9F4281" w:rsidR="00040EDA" w:rsidRPr="00AC1624" w:rsidRDefault="00040EDA" w:rsidP="00040EDA">
      <w:pPr>
        <w:widowControl w:val="0"/>
        <w:spacing w:line="276" w:lineRule="auto"/>
        <w:jc w:val="center"/>
        <w:textAlignment w:val="auto"/>
        <w:rPr>
          <w:rFonts w:ascii="Aptos" w:eastAsia="Calibri" w:hAnsi="Aptos" w:cs="Arial"/>
          <w:b/>
          <w:bCs/>
          <w:color w:val="0E2841"/>
          <w:kern w:val="0"/>
          <w:sz w:val="32"/>
          <w:szCs w:val="32"/>
          <w:lang w:eastAsia="en-US" w:bidi="ar-SA"/>
        </w:rPr>
      </w:pPr>
      <w:r>
        <w:rPr>
          <w:rFonts w:ascii="Aptos" w:eastAsia="Calibri" w:hAnsi="Aptos" w:cs="Arial"/>
          <w:b/>
          <w:bCs/>
          <w:color w:val="0E2841"/>
          <w:kern w:val="0"/>
          <w:sz w:val="32"/>
          <w:szCs w:val="32"/>
          <w:lang w:eastAsia="en-US" w:bidi="ar-SA"/>
        </w:rPr>
        <w:t>LOGO USAGE REGULATION</w:t>
      </w:r>
    </w:p>
    <w:p w14:paraId="3FB5FA9C" w14:textId="6658D865" w:rsidR="00CA176C" w:rsidRPr="00CA176C" w:rsidRDefault="00CA176C" w:rsidP="00040EDA">
      <w:pPr>
        <w:widowControl w:val="0"/>
        <w:spacing w:line="276" w:lineRule="auto"/>
        <w:jc w:val="center"/>
        <w:textAlignment w:val="auto"/>
        <w:rPr>
          <w:rFonts w:ascii="Aptos" w:eastAsia="Calibri" w:hAnsi="Aptos" w:cs="Arial"/>
          <w:color w:val="0E2841"/>
          <w:kern w:val="0"/>
          <w:sz w:val="32"/>
          <w:szCs w:val="32"/>
          <w:lang w:eastAsia="en-US" w:bidi="ar-SA"/>
        </w:rPr>
      </w:pPr>
      <w:r w:rsidRPr="00CA176C">
        <w:rPr>
          <w:rFonts w:ascii="Aptos" w:eastAsia="Calibri" w:hAnsi="Aptos" w:cs="Arial"/>
          <w:color w:val="0E2841"/>
          <w:kern w:val="0"/>
          <w:sz w:val="32"/>
          <w:szCs w:val="32"/>
          <w:lang w:eastAsia="en-US" w:bidi="ar-SA"/>
        </w:rPr>
        <w:t>(</w:t>
      </w:r>
      <w:r w:rsidR="00AC1624" w:rsidRPr="00AC1624">
        <w:rPr>
          <w:rFonts w:ascii="Aptos" w:eastAsia="Calibri" w:hAnsi="Aptos" w:cs="Arial"/>
          <w:color w:val="0E2841"/>
          <w:kern w:val="0"/>
          <w:sz w:val="32"/>
          <w:szCs w:val="32"/>
          <w:lang w:eastAsia="en-US" w:bidi="ar-SA"/>
        </w:rPr>
        <w:t>Inspection &amp; Authorization – ISO 17020 / ACCREDIA / SERMI</w:t>
      </w:r>
      <w:r w:rsidRPr="00CA176C">
        <w:rPr>
          <w:rFonts w:ascii="Aptos" w:eastAsia="Calibri" w:hAnsi="Aptos" w:cs="Arial"/>
          <w:color w:val="0E2841"/>
          <w:kern w:val="0"/>
          <w:sz w:val="32"/>
          <w:szCs w:val="32"/>
          <w:lang w:eastAsia="en-US" w:bidi="ar-SA"/>
        </w:rPr>
        <w:t>)</w:t>
      </w:r>
    </w:p>
    <w:p w14:paraId="751E2949" w14:textId="77777777" w:rsidR="00040EDA" w:rsidRPr="00AC1624" w:rsidRDefault="00040EDA">
      <w:pPr>
        <w:pStyle w:val="Standard"/>
        <w:jc w:val="center"/>
        <w:rPr>
          <w:rFonts w:ascii="ψαλιβρι" w:hAnsi="ψαλιβρι" w:hint="eastAsia"/>
          <w:b/>
          <w:bCs/>
        </w:rPr>
      </w:pPr>
    </w:p>
    <w:p w14:paraId="4E4324FD" w14:textId="77777777" w:rsidR="00040EDA" w:rsidRPr="00AC1624" w:rsidRDefault="00040EDA">
      <w:pPr>
        <w:pStyle w:val="Standard"/>
        <w:jc w:val="center"/>
        <w:rPr>
          <w:rFonts w:ascii="ψαλιβρι" w:hAnsi="ψαλιβρι" w:hint="eastAsia"/>
          <w:b/>
          <w:bCs/>
        </w:rPr>
      </w:pPr>
    </w:p>
    <w:p w14:paraId="66534CDC" w14:textId="77777777" w:rsidR="00040EDA" w:rsidRPr="00AC1624" w:rsidRDefault="00040EDA">
      <w:pPr>
        <w:pStyle w:val="Standard"/>
        <w:jc w:val="center"/>
        <w:rPr>
          <w:rFonts w:ascii="ψαλιβρι" w:hAnsi="ψαλιβρι" w:hint="eastAsia"/>
          <w:b/>
          <w:bCs/>
        </w:rPr>
      </w:pPr>
    </w:p>
    <w:p w14:paraId="5A805B13" w14:textId="0994912A" w:rsidR="00040EDA" w:rsidRPr="00AC1624" w:rsidRDefault="00040EDA" w:rsidP="002222D2">
      <w:pPr>
        <w:rPr>
          <w:rFonts w:ascii="ψαλιβρι" w:hAnsi="ψαλιβρι" w:hint="eastAsia"/>
          <w:b/>
          <w:bCs/>
        </w:rPr>
      </w:pPr>
      <w:r>
        <w:rPr>
          <w:rFonts w:ascii="ψαλιβρι" w:hAnsi="ψαλιβρι" w:hint="eastAsia"/>
          <w:b/>
          <w:bCs/>
        </w:rPr>
        <w:br w:type="page"/>
      </w:r>
    </w:p>
    <w:p w14:paraId="19469289" w14:textId="77777777" w:rsidR="00AC1624" w:rsidRPr="00AC1624" w:rsidRDefault="00AC1624" w:rsidP="00AC1624">
      <w:pPr>
        <w:pStyle w:val="Standard"/>
        <w:spacing w:line="360" w:lineRule="auto"/>
        <w:jc w:val="both"/>
        <w:rPr>
          <w:rFonts w:ascii="ψαλιβρι" w:hAnsi="ψαλιβρι" w:hint="eastAsia"/>
          <w:b/>
          <w:bCs/>
          <w:color w:val="002060"/>
          <w:sz w:val="22"/>
          <w:szCs w:val="22"/>
        </w:rPr>
      </w:pPr>
      <w:r w:rsidRPr="00AC1624">
        <w:rPr>
          <w:rFonts w:ascii="ψαλιβρι" w:hAnsi="ψαλιβρι"/>
          <w:b/>
          <w:bCs/>
          <w:color w:val="002060"/>
          <w:sz w:val="22"/>
          <w:szCs w:val="22"/>
        </w:rPr>
        <w:lastRenderedPageBreak/>
        <w:t>1. Purpose</w:t>
      </w:r>
    </w:p>
    <w:p w14:paraId="43704F49" w14:textId="23BDBEA3" w:rsidR="00AC1624" w:rsidRPr="00AC1624" w:rsidRDefault="00AC1624" w:rsidP="00AC1624">
      <w:pPr>
        <w:pStyle w:val="Standard"/>
        <w:spacing w:line="360" w:lineRule="auto"/>
        <w:jc w:val="both"/>
        <w:rPr>
          <w:rFonts w:ascii="ψαλιβρι" w:hAnsi="ψαλιβρι" w:hint="eastAsia"/>
          <w:sz w:val="22"/>
          <w:szCs w:val="22"/>
        </w:rPr>
      </w:pPr>
      <w:r w:rsidRPr="00AC1624">
        <w:rPr>
          <w:rFonts w:ascii="ψαλιβρι" w:hAnsi="ψαλιβρι"/>
          <w:sz w:val="22"/>
          <w:szCs w:val="22"/>
        </w:rPr>
        <w:t xml:space="preserve">This Regulation </w:t>
      </w:r>
      <w:r w:rsidRPr="003A1233">
        <w:rPr>
          <w:rFonts w:ascii="ψαλιβρι" w:hAnsi="ψαλιβρι"/>
          <w:sz w:val="22"/>
          <w:szCs w:val="22"/>
        </w:rPr>
        <w:t xml:space="preserve">establishes the terms and conditions governing the correct and lawful use of the </w:t>
      </w:r>
      <w:r w:rsidR="007F60F3" w:rsidRPr="003A1233">
        <w:rPr>
          <w:rFonts w:ascii="ψαλιβρι" w:hAnsi="ψαλιβρι"/>
          <w:sz w:val="22"/>
          <w:szCs w:val="22"/>
        </w:rPr>
        <w:t>VALIDX &amp; ICDQ PARTNERS</w:t>
      </w:r>
      <w:r w:rsidRPr="003A1233">
        <w:rPr>
          <w:rFonts w:ascii="ψαλιβρι" w:hAnsi="ψαλιβρι"/>
          <w:sz w:val="22"/>
          <w:szCs w:val="22"/>
        </w:rPr>
        <w:t xml:space="preserve"> logo, accreditation marks (e.g., ACCREDIA), and any associated authorization symbols, including those related to the SERMI scheme. The aim is to prevent misuse, ensure transparency, protect the integrity of accreditation and inspection results, and maintain compliance with ISO/IEC 17020:2012, ACCREDIA Regulation RG-09, and SERMI requirements</w:t>
      </w:r>
      <w:r w:rsidRPr="00AC1624">
        <w:rPr>
          <w:rFonts w:ascii="ψαλιβρι" w:hAnsi="ψαλιβρι"/>
          <w:sz w:val="22"/>
          <w:szCs w:val="22"/>
        </w:rPr>
        <w:t>.</w:t>
      </w:r>
    </w:p>
    <w:p w14:paraId="469E823B" w14:textId="22A23330" w:rsidR="00AC1624" w:rsidRPr="00AC1624" w:rsidRDefault="00AC1624" w:rsidP="00AC1624">
      <w:pPr>
        <w:pStyle w:val="Standard"/>
        <w:spacing w:line="360" w:lineRule="auto"/>
        <w:jc w:val="both"/>
        <w:rPr>
          <w:rFonts w:ascii="ψαλιβρι" w:hAnsi="ψαλιβρι" w:hint="eastAsia"/>
          <w:sz w:val="22"/>
          <w:szCs w:val="22"/>
        </w:rPr>
      </w:pPr>
    </w:p>
    <w:p w14:paraId="49F6DBB0" w14:textId="77777777" w:rsidR="00AC1624" w:rsidRPr="00AC1624" w:rsidRDefault="00AC1624" w:rsidP="00AC1624">
      <w:pPr>
        <w:pStyle w:val="Standard"/>
        <w:spacing w:line="360" w:lineRule="auto"/>
        <w:jc w:val="both"/>
        <w:rPr>
          <w:rFonts w:ascii="ψαλιβρι" w:hAnsi="ψαλιβρι" w:hint="eastAsia"/>
          <w:b/>
          <w:bCs/>
          <w:color w:val="002060"/>
          <w:sz w:val="22"/>
          <w:szCs w:val="22"/>
        </w:rPr>
      </w:pPr>
      <w:r w:rsidRPr="00AC1624">
        <w:rPr>
          <w:rFonts w:ascii="ψαλιβρι" w:hAnsi="ψαλιβρι"/>
          <w:b/>
          <w:bCs/>
          <w:color w:val="002060"/>
          <w:sz w:val="22"/>
          <w:szCs w:val="22"/>
        </w:rPr>
        <w:t>2. Scope</w:t>
      </w:r>
    </w:p>
    <w:p w14:paraId="1E56C901" w14:textId="77777777" w:rsidR="00AC1624" w:rsidRPr="00AC1624" w:rsidRDefault="00AC1624" w:rsidP="00AC1624">
      <w:pPr>
        <w:pStyle w:val="Standard"/>
        <w:spacing w:line="360" w:lineRule="auto"/>
        <w:jc w:val="both"/>
        <w:rPr>
          <w:rFonts w:ascii="ψαλιβρι" w:hAnsi="ψαλιβρι" w:hint="eastAsia"/>
          <w:sz w:val="22"/>
          <w:szCs w:val="22"/>
        </w:rPr>
      </w:pPr>
      <w:r w:rsidRPr="00AC1624">
        <w:rPr>
          <w:rFonts w:ascii="ψαλιβρι" w:hAnsi="ψαλιβρι"/>
          <w:sz w:val="22"/>
          <w:szCs w:val="22"/>
        </w:rPr>
        <w:t>This Regulation applies to:</w:t>
      </w:r>
    </w:p>
    <w:p w14:paraId="0269EB95" w14:textId="64B202CB" w:rsidR="00AC1624" w:rsidRPr="003A1233" w:rsidRDefault="00AC1624" w:rsidP="00AC1624">
      <w:pPr>
        <w:pStyle w:val="Standard"/>
        <w:numPr>
          <w:ilvl w:val="0"/>
          <w:numId w:val="1"/>
        </w:numPr>
        <w:spacing w:line="360" w:lineRule="auto"/>
        <w:jc w:val="both"/>
        <w:rPr>
          <w:rFonts w:ascii="ψαλιβρι" w:hAnsi="ψαλιβρι" w:hint="eastAsia"/>
          <w:sz w:val="22"/>
          <w:szCs w:val="22"/>
        </w:rPr>
      </w:pPr>
      <w:r w:rsidRPr="00AC1624">
        <w:rPr>
          <w:rFonts w:ascii="ψαλιβρι" w:hAnsi="ψαλιβρι"/>
          <w:sz w:val="22"/>
          <w:szCs w:val="22"/>
        </w:rPr>
        <w:t xml:space="preserve">All clients and </w:t>
      </w:r>
      <w:r w:rsidRPr="003A1233">
        <w:rPr>
          <w:rFonts w:ascii="ψαλιβρι" w:hAnsi="ψαλιβρι"/>
          <w:sz w:val="22"/>
          <w:szCs w:val="22"/>
        </w:rPr>
        <w:t xml:space="preserve">partners of </w:t>
      </w:r>
      <w:r w:rsidR="007F60F3" w:rsidRPr="003A1233">
        <w:rPr>
          <w:rFonts w:ascii="ψαλιβρι" w:hAnsi="ψαλιβρι"/>
          <w:sz w:val="22"/>
          <w:szCs w:val="22"/>
        </w:rPr>
        <w:t>VALIDX &amp; ICDQ PARTNERS</w:t>
      </w:r>
      <w:r w:rsidRPr="003A1233">
        <w:rPr>
          <w:rFonts w:ascii="ψαλιβρι" w:hAnsi="ψαλιβρι"/>
          <w:sz w:val="22"/>
          <w:szCs w:val="22"/>
        </w:rPr>
        <w:t xml:space="preserve"> who have received inspection reports or certificates,</w:t>
      </w:r>
    </w:p>
    <w:p w14:paraId="347F59CB" w14:textId="77777777" w:rsidR="00AC1624" w:rsidRPr="003A1233" w:rsidRDefault="00AC1624" w:rsidP="00AC1624">
      <w:pPr>
        <w:pStyle w:val="Standard"/>
        <w:numPr>
          <w:ilvl w:val="0"/>
          <w:numId w:val="1"/>
        </w:numPr>
        <w:spacing w:line="360" w:lineRule="auto"/>
        <w:jc w:val="both"/>
        <w:rPr>
          <w:rFonts w:ascii="ψαλιβρι" w:hAnsi="ψαλιβρι" w:hint="eastAsia"/>
          <w:sz w:val="22"/>
          <w:szCs w:val="22"/>
        </w:rPr>
      </w:pPr>
      <w:r w:rsidRPr="003A1233">
        <w:rPr>
          <w:rFonts w:ascii="ψαλιβρι" w:hAnsi="ψαλιβρι"/>
          <w:sz w:val="22"/>
          <w:szCs w:val="22"/>
        </w:rPr>
        <w:t>Entities authorized under the SERMI scheme,</w:t>
      </w:r>
    </w:p>
    <w:p w14:paraId="14A4901A" w14:textId="63C37C35" w:rsidR="00AC1624" w:rsidRPr="003A1233" w:rsidRDefault="00AC1624" w:rsidP="00AC1624">
      <w:pPr>
        <w:pStyle w:val="Standard"/>
        <w:numPr>
          <w:ilvl w:val="0"/>
          <w:numId w:val="1"/>
        </w:numPr>
        <w:spacing w:line="360" w:lineRule="auto"/>
        <w:jc w:val="both"/>
        <w:rPr>
          <w:rFonts w:ascii="ψαλιβρι" w:hAnsi="ψαλιβρι" w:hint="eastAsia"/>
          <w:sz w:val="22"/>
          <w:szCs w:val="22"/>
        </w:rPr>
      </w:pPr>
      <w:r w:rsidRPr="003A1233">
        <w:rPr>
          <w:rFonts w:ascii="ψαλιβρι" w:hAnsi="ψαλιβρι"/>
          <w:sz w:val="22"/>
          <w:szCs w:val="22"/>
        </w:rPr>
        <w:t xml:space="preserve">Any external organization referring to </w:t>
      </w:r>
      <w:r w:rsidR="007F60F3" w:rsidRPr="003A1233">
        <w:rPr>
          <w:rFonts w:ascii="ψαλιβρι" w:hAnsi="ψαλιβρι"/>
          <w:sz w:val="22"/>
          <w:szCs w:val="22"/>
        </w:rPr>
        <w:t>VALIDX &amp; ICDQ PARTNERS</w:t>
      </w:r>
      <w:r w:rsidRPr="003A1233">
        <w:rPr>
          <w:rFonts w:ascii="ψαλιβρι" w:hAnsi="ψαλιβρι"/>
          <w:sz w:val="22"/>
          <w:szCs w:val="22"/>
        </w:rPr>
        <w:t xml:space="preserve"> certification or services,</w:t>
      </w:r>
    </w:p>
    <w:p w14:paraId="0838E747" w14:textId="3699D96C" w:rsidR="00AC1624" w:rsidRPr="003A1233" w:rsidRDefault="00AC1624" w:rsidP="00AC1624">
      <w:pPr>
        <w:pStyle w:val="Standard"/>
        <w:numPr>
          <w:ilvl w:val="0"/>
          <w:numId w:val="1"/>
        </w:numPr>
        <w:spacing w:line="360" w:lineRule="auto"/>
        <w:jc w:val="both"/>
        <w:rPr>
          <w:rFonts w:ascii="ψαλιβρι" w:hAnsi="ψαλιβρι" w:hint="eastAsia"/>
          <w:sz w:val="22"/>
          <w:szCs w:val="22"/>
        </w:rPr>
      </w:pPr>
      <w:r w:rsidRPr="003A1233">
        <w:rPr>
          <w:rFonts w:ascii="ψαλιβρι" w:hAnsi="ψαλιβρι"/>
          <w:sz w:val="22"/>
          <w:szCs w:val="22"/>
        </w:rPr>
        <w:t xml:space="preserve">Internal departments that issue public documents bearing the </w:t>
      </w:r>
      <w:r w:rsidR="007F60F3" w:rsidRPr="003A1233">
        <w:rPr>
          <w:rFonts w:ascii="ψαλιβρι" w:hAnsi="ψαλιβρι"/>
          <w:sz w:val="22"/>
          <w:szCs w:val="22"/>
        </w:rPr>
        <w:t>VALIDX &amp; ICDQ PARTNERS</w:t>
      </w:r>
      <w:r w:rsidRPr="003A1233">
        <w:rPr>
          <w:rFonts w:ascii="ψαλιβρι" w:hAnsi="ψαλιβρι"/>
          <w:sz w:val="22"/>
          <w:szCs w:val="22"/>
        </w:rPr>
        <w:t xml:space="preserve"> identity.</w:t>
      </w:r>
    </w:p>
    <w:p w14:paraId="0A0D3A41" w14:textId="439275F4" w:rsidR="00AC1624" w:rsidRPr="003A1233" w:rsidRDefault="00AC1624" w:rsidP="00AC1624">
      <w:pPr>
        <w:pStyle w:val="Standard"/>
        <w:spacing w:line="360" w:lineRule="auto"/>
        <w:jc w:val="both"/>
        <w:rPr>
          <w:rFonts w:ascii="ψαλιβρι" w:hAnsi="ψαλιβρι" w:hint="eastAsia"/>
          <w:sz w:val="22"/>
          <w:szCs w:val="22"/>
        </w:rPr>
      </w:pPr>
    </w:p>
    <w:p w14:paraId="38809094" w14:textId="77777777" w:rsidR="00AC1624" w:rsidRPr="003A1233" w:rsidRDefault="00AC1624" w:rsidP="00AC1624">
      <w:pPr>
        <w:pStyle w:val="Standard"/>
        <w:spacing w:line="360" w:lineRule="auto"/>
        <w:jc w:val="both"/>
        <w:rPr>
          <w:rFonts w:ascii="ψαλιβρι" w:hAnsi="ψαλιβρι" w:hint="eastAsia"/>
          <w:b/>
          <w:bCs/>
          <w:color w:val="002060"/>
          <w:sz w:val="22"/>
          <w:szCs w:val="22"/>
        </w:rPr>
      </w:pPr>
      <w:r w:rsidRPr="003A1233">
        <w:rPr>
          <w:rFonts w:ascii="ψαλιβρι" w:hAnsi="ψαλιβρι"/>
          <w:b/>
          <w:bCs/>
          <w:color w:val="002060"/>
          <w:sz w:val="22"/>
          <w:szCs w:val="22"/>
        </w:rPr>
        <w:t>3. Definitions</w:t>
      </w:r>
    </w:p>
    <w:p w14:paraId="373743C0" w14:textId="7DB99269" w:rsidR="00AC1624" w:rsidRPr="003A1233" w:rsidRDefault="007F60F3" w:rsidP="00AC1624">
      <w:pPr>
        <w:pStyle w:val="Standard"/>
        <w:numPr>
          <w:ilvl w:val="0"/>
          <w:numId w:val="2"/>
        </w:numPr>
        <w:spacing w:line="360" w:lineRule="auto"/>
        <w:jc w:val="both"/>
        <w:rPr>
          <w:rFonts w:ascii="ψαλιβρι" w:hAnsi="ψαλιβρι" w:hint="eastAsia"/>
          <w:sz w:val="22"/>
          <w:szCs w:val="22"/>
        </w:rPr>
      </w:pPr>
      <w:r w:rsidRPr="003A1233">
        <w:rPr>
          <w:rFonts w:ascii="ψαλιβρι" w:hAnsi="ψαλιβρι"/>
          <w:b/>
          <w:bCs/>
          <w:sz w:val="22"/>
          <w:szCs w:val="22"/>
        </w:rPr>
        <w:t>VALIDX &amp; ICDQ PARTNERS</w:t>
      </w:r>
      <w:r w:rsidR="00AC1624" w:rsidRPr="003A1233">
        <w:rPr>
          <w:rFonts w:ascii="ψαλιβρι" w:hAnsi="ψαλιβρι"/>
          <w:b/>
          <w:bCs/>
          <w:sz w:val="22"/>
          <w:szCs w:val="22"/>
        </w:rPr>
        <w:t xml:space="preserve"> Logo</w:t>
      </w:r>
      <w:r w:rsidR="00AC1624" w:rsidRPr="003A1233">
        <w:rPr>
          <w:rFonts w:ascii="ψαλιβρι" w:hAnsi="ψαλιβρι"/>
          <w:sz w:val="22"/>
          <w:szCs w:val="22"/>
        </w:rPr>
        <w:t xml:space="preserve">: The registered graphic identity of </w:t>
      </w:r>
      <w:r w:rsidRPr="003A1233">
        <w:rPr>
          <w:rFonts w:ascii="ψαλιβρι" w:hAnsi="ψαλιβρι"/>
          <w:sz w:val="22"/>
          <w:szCs w:val="22"/>
        </w:rPr>
        <w:t>VALIDX &amp; ICDQ PARTNERS</w:t>
      </w:r>
      <w:r w:rsidR="00AC1624" w:rsidRPr="003A1233">
        <w:rPr>
          <w:rFonts w:ascii="ψαλιβρι" w:hAnsi="ψαλιβρι"/>
          <w:sz w:val="22"/>
          <w:szCs w:val="22"/>
        </w:rPr>
        <w:t xml:space="preserve"> used in official documentation and communication.</w:t>
      </w:r>
    </w:p>
    <w:p w14:paraId="5E2EE940" w14:textId="5CB3E44E" w:rsidR="00AC1624" w:rsidRPr="003A1233" w:rsidRDefault="00AC1624" w:rsidP="00AC1624">
      <w:pPr>
        <w:pStyle w:val="Standard"/>
        <w:numPr>
          <w:ilvl w:val="0"/>
          <w:numId w:val="2"/>
        </w:numPr>
        <w:spacing w:line="360" w:lineRule="auto"/>
        <w:jc w:val="both"/>
        <w:rPr>
          <w:rFonts w:ascii="ψαλιβρι" w:hAnsi="ψαλιβρι" w:hint="eastAsia"/>
          <w:sz w:val="22"/>
          <w:szCs w:val="22"/>
        </w:rPr>
      </w:pPr>
      <w:r w:rsidRPr="003A1233">
        <w:rPr>
          <w:rFonts w:ascii="ψαλιβρι" w:hAnsi="ψαλιβρι"/>
          <w:b/>
          <w:bCs/>
          <w:sz w:val="22"/>
          <w:szCs w:val="22"/>
        </w:rPr>
        <w:t>Accreditation Mark</w:t>
      </w:r>
      <w:r w:rsidRPr="003A1233">
        <w:rPr>
          <w:rFonts w:ascii="ψαλιβρι" w:hAnsi="ψαλιβρι"/>
          <w:sz w:val="22"/>
          <w:szCs w:val="22"/>
        </w:rPr>
        <w:t xml:space="preserve">: The symbol representing </w:t>
      </w:r>
      <w:r w:rsidR="007F60F3" w:rsidRPr="003A1233">
        <w:rPr>
          <w:rFonts w:ascii="ψαλιβρι" w:hAnsi="ψαλιβρι"/>
          <w:sz w:val="22"/>
          <w:szCs w:val="22"/>
        </w:rPr>
        <w:t>VALIDX &amp; ICDQ PARTNERS</w:t>
      </w:r>
      <w:r w:rsidRPr="003A1233">
        <w:rPr>
          <w:rFonts w:ascii="ψαλιβρι" w:hAnsi="ψαλιβρι"/>
          <w:sz w:val="22"/>
          <w:szCs w:val="22"/>
        </w:rPr>
        <w:t>’s accreditation by ACCREDIA, used only under defined scope and conditions.</w:t>
      </w:r>
    </w:p>
    <w:p w14:paraId="48B7278C" w14:textId="77777777" w:rsidR="00AC1624" w:rsidRPr="003A1233" w:rsidRDefault="00AC1624" w:rsidP="00AC1624">
      <w:pPr>
        <w:pStyle w:val="Standard"/>
        <w:numPr>
          <w:ilvl w:val="0"/>
          <w:numId w:val="2"/>
        </w:numPr>
        <w:spacing w:line="360" w:lineRule="auto"/>
        <w:jc w:val="both"/>
        <w:rPr>
          <w:rFonts w:ascii="ψαλιβρι" w:hAnsi="ψαλιβρι" w:hint="eastAsia"/>
          <w:sz w:val="22"/>
          <w:szCs w:val="22"/>
        </w:rPr>
      </w:pPr>
      <w:r w:rsidRPr="003A1233">
        <w:rPr>
          <w:rFonts w:ascii="ψαλιβρι" w:hAnsi="ψαλιβρι"/>
          <w:b/>
          <w:bCs/>
          <w:sz w:val="22"/>
          <w:szCs w:val="22"/>
        </w:rPr>
        <w:t>SERMI Reference</w:t>
      </w:r>
      <w:r w:rsidRPr="003A1233">
        <w:rPr>
          <w:rFonts w:ascii="ψαλιβρι" w:hAnsi="ψαλιβρι"/>
          <w:sz w:val="22"/>
          <w:szCs w:val="22"/>
        </w:rPr>
        <w:t>: Any textual or visual reference to authorization under the SERMI scheme.</w:t>
      </w:r>
    </w:p>
    <w:p w14:paraId="357503E5" w14:textId="64C3F059" w:rsidR="00AC1624" w:rsidRPr="003A1233" w:rsidRDefault="00AC1624" w:rsidP="00AC1624">
      <w:pPr>
        <w:pStyle w:val="Standard"/>
        <w:spacing w:line="360" w:lineRule="auto"/>
        <w:jc w:val="both"/>
        <w:rPr>
          <w:rFonts w:ascii="ψαλιβρι" w:hAnsi="ψαλιβρι" w:hint="eastAsia"/>
          <w:sz w:val="22"/>
          <w:szCs w:val="22"/>
        </w:rPr>
      </w:pPr>
    </w:p>
    <w:p w14:paraId="65234074" w14:textId="4BF796ED" w:rsidR="00AC1624" w:rsidRPr="003A1233" w:rsidRDefault="00AC1624" w:rsidP="00AC1624">
      <w:pPr>
        <w:pStyle w:val="Standard"/>
        <w:spacing w:line="360" w:lineRule="auto"/>
        <w:jc w:val="both"/>
        <w:rPr>
          <w:rFonts w:ascii="ψαλιβρι" w:hAnsi="ψαλιβρι" w:hint="eastAsia"/>
          <w:b/>
          <w:bCs/>
          <w:color w:val="002060"/>
          <w:sz w:val="22"/>
          <w:szCs w:val="22"/>
        </w:rPr>
      </w:pPr>
      <w:r w:rsidRPr="003A1233">
        <w:rPr>
          <w:rFonts w:ascii="ψαλιβρι" w:hAnsi="ψαλιβρι"/>
          <w:b/>
          <w:bCs/>
          <w:color w:val="002060"/>
          <w:sz w:val="22"/>
          <w:szCs w:val="22"/>
        </w:rPr>
        <w:t xml:space="preserve">4. Permitted Use of the </w:t>
      </w:r>
      <w:r w:rsidR="007F60F3" w:rsidRPr="003A1233">
        <w:rPr>
          <w:rFonts w:ascii="ψαλιβρι" w:hAnsi="ψαλιβρι"/>
          <w:b/>
          <w:bCs/>
          <w:color w:val="002060"/>
          <w:sz w:val="22"/>
          <w:szCs w:val="22"/>
        </w:rPr>
        <w:t>VALIDX &amp; ICDQ PARTNERS</w:t>
      </w:r>
      <w:r w:rsidRPr="003A1233">
        <w:rPr>
          <w:rFonts w:ascii="ψαλιβρι" w:hAnsi="ψαλιβρι"/>
          <w:b/>
          <w:bCs/>
          <w:color w:val="002060"/>
          <w:sz w:val="22"/>
          <w:szCs w:val="22"/>
        </w:rPr>
        <w:t xml:space="preserve"> Logo</w:t>
      </w:r>
    </w:p>
    <w:p w14:paraId="146CA14C" w14:textId="0137E8EF" w:rsidR="00AC1624" w:rsidRPr="003A1233" w:rsidRDefault="00AC1624" w:rsidP="00AC1624">
      <w:pPr>
        <w:pStyle w:val="Standard"/>
        <w:spacing w:line="360" w:lineRule="auto"/>
        <w:jc w:val="both"/>
        <w:rPr>
          <w:rFonts w:ascii="ψαλιβρι" w:hAnsi="ψαλιβρι" w:hint="eastAsia"/>
          <w:sz w:val="22"/>
          <w:szCs w:val="22"/>
        </w:rPr>
      </w:pPr>
      <w:r w:rsidRPr="003A1233">
        <w:rPr>
          <w:rFonts w:ascii="ψαλιβρι" w:hAnsi="ψαλιβρι"/>
          <w:sz w:val="22"/>
          <w:szCs w:val="22"/>
        </w:rPr>
        <w:t xml:space="preserve">Authorized organizations may use the </w:t>
      </w:r>
      <w:r w:rsidR="007F60F3" w:rsidRPr="003A1233">
        <w:rPr>
          <w:rFonts w:ascii="ψαλιβρι" w:hAnsi="ψαλιβρι"/>
          <w:sz w:val="22"/>
          <w:szCs w:val="22"/>
        </w:rPr>
        <w:t>VALIDX &amp; ICDQ PARTNERS</w:t>
      </w:r>
      <w:r w:rsidRPr="003A1233">
        <w:rPr>
          <w:rFonts w:ascii="ψαλιβρι" w:hAnsi="ψαλιβρι"/>
          <w:sz w:val="22"/>
          <w:szCs w:val="22"/>
        </w:rPr>
        <w:t xml:space="preserve"> logo only under the following conditions:</w:t>
      </w:r>
    </w:p>
    <w:p w14:paraId="26749D74" w14:textId="037A6C45" w:rsidR="00AC1624" w:rsidRPr="003A1233" w:rsidRDefault="00AC1624" w:rsidP="00AC1624">
      <w:pPr>
        <w:pStyle w:val="Standard"/>
        <w:numPr>
          <w:ilvl w:val="0"/>
          <w:numId w:val="3"/>
        </w:numPr>
        <w:spacing w:line="360" w:lineRule="auto"/>
        <w:jc w:val="both"/>
        <w:rPr>
          <w:rFonts w:ascii="ψαλιβρι" w:hAnsi="ψαλιβρι" w:hint="eastAsia"/>
          <w:sz w:val="22"/>
          <w:szCs w:val="22"/>
        </w:rPr>
      </w:pPr>
      <w:r w:rsidRPr="003A1233">
        <w:rPr>
          <w:rFonts w:ascii="ψαλιβρι" w:hAnsi="ψαλιβρι"/>
          <w:sz w:val="22"/>
          <w:szCs w:val="22"/>
        </w:rPr>
        <w:t xml:space="preserve">Exclusively in connection with </w:t>
      </w:r>
      <w:r w:rsidRPr="003A1233">
        <w:rPr>
          <w:rFonts w:ascii="ψαλιβρι" w:hAnsi="ψαλιβρι"/>
          <w:b/>
          <w:bCs/>
          <w:sz w:val="22"/>
          <w:szCs w:val="22"/>
        </w:rPr>
        <w:t>certified or inspected services</w:t>
      </w:r>
      <w:r w:rsidRPr="003A1233">
        <w:rPr>
          <w:rFonts w:ascii="ψαλιβρι" w:hAnsi="ψαλιβρι"/>
          <w:sz w:val="22"/>
          <w:szCs w:val="22"/>
        </w:rPr>
        <w:t xml:space="preserve"> performed by </w:t>
      </w:r>
      <w:r w:rsidR="007F60F3" w:rsidRPr="003A1233">
        <w:rPr>
          <w:rFonts w:ascii="ψαλιβρι" w:hAnsi="ψαλιβρι"/>
          <w:sz w:val="22"/>
          <w:szCs w:val="22"/>
        </w:rPr>
        <w:t>VALIDX &amp; ICDQ PARTNERS</w:t>
      </w:r>
      <w:r w:rsidRPr="003A1233">
        <w:rPr>
          <w:rFonts w:ascii="ψαλιβρι" w:hAnsi="ψαλιβρι"/>
          <w:sz w:val="22"/>
          <w:szCs w:val="22"/>
        </w:rPr>
        <w:t>.</w:t>
      </w:r>
    </w:p>
    <w:p w14:paraId="62C9317F" w14:textId="77777777" w:rsidR="00AC1624" w:rsidRPr="003A1233" w:rsidRDefault="00AC1624" w:rsidP="00AC1624">
      <w:pPr>
        <w:pStyle w:val="Standard"/>
        <w:numPr>
          <w:ilvl w:val="0"/>
          <w:numId w:val="3"/>
        </w:numPr>
        <w:spacing w:line="360" w:lineRule="auto"/>
        <w:jc w:val="both"/>
        <w:rPr>
          <w:rFonts w:ascii="ψαλιβρι" w:hAnsi="ψαλιβρι" w:hint="eastAsia"/>
          <w:sz w:val="22"/>
          <w:szCs w:val="22"/>
        </w:rPr>
      </w:pPr>
      <w:r w:rsidRPr="003A1233">
        <w:rPr>
          <w:rFonts w:ascii="ψαλιβρι" w:hAnsi="ψαλιβρι"/>
          <w:sz w:val="22"/>
          <w:szCs w:val="22"/>
        </w:rPr>
        <w:t xml:space="preserve">Always accompanied by </w:t>
      </w:r>
      <w:r w:rsidRPr="003A1233">
        <w:rPr>
          <w:rFonts w:ascii="ψαλιβρι" w:hAnsi="ψαλιβρι"/>
          <w:b/>
          <w:bCs/>
          <w:sz w:val="22"/>
          <w:szCs w:val="22"/>
        </w:rPr>
        <w:t>certificate or report number</w:t>
      </w:r>
      <w:r w:rsidRPr="003A1233">
        <w:rPr>
          <w:rFonts w:ascii="ψαλιβρι" w:hAnsi="ψαλιβρι"/>
          <w:sz w:val="22"/>
          <w:szCs w:val="22"/>
        </w:rPr>
        <w:t>, clearly indicating the scope.</w:t>
      </w:r>
    </w:p>
    <w:p w14:paraId="5B7CC47B" w14:textId="77777777" w:rsidR="00AC1624" w:rsidRPr="003A1233" w:rsidRDefault="00AC1624" w:rsidP="00AC1624">
      <w:pPr>
        <w:pStyle w:val="Standard"/>
        <w:numPr>
          <w:ilvl w:val="0"/>
          <w:numId w:val="3"/>
        </w:numPr>
        <w:spacing w:line="360" w:lineRule="auto"/>
        <w:jc w:val="both"/>
        <w:rPr>
          <w:rFonts w:ascii="ψαλιβρι" w:hAnsi="ψαλιβρι" w:hint="eastAsia"/>
          <w:sz w:val="22"/>
          <w:szCs w:val="22"/>
        </w:rPr>
      </w:pPr>
      <w:r w:rsidRPr="003A1233">
        <w:rPr>
          <w:rFonts w:ascii="ψαλιβρι" w:hAnsi="ψαλιβρι"/>
          <w:sz w:val="22"/>
          <w:szCs w:val="22"/>
        </w:rPr>
        <w:t xml:space="preserve">On </w:t>
      </w:r>
      <w:r w:rsidRPr="003A1233">
        <w:rPr>
          <w:rFonts w:ascii="ψαλιβρι" w:hAnsi="ψαλιβρι"/>
          <w:b/>
          <w:bCs/>
          <w:sz w:val="22"/>
          <w:szCs w:val="22"/>
        </w:rPr>
        <w:t>business cards, websites, promotional material</w:t>
      </w:r>
      <w:r w:rsidRPr="003A1233">
        <w:rPr>
          <w:rFonts w:ascii="ψαλιβρι" w:hAnsi="ψαλιβρι"/>
          <w:sz w:val="22"/>
          <w:szCs w:val="22"/>
        </w:rPr>
        <w:t xml:space="preserve">, or correspondence </w:t>
      </w:r>
      <w:r w:rsidRPr="003A1233">
        <w:rPr>
          <w:rFonts w:ascii="ψαλιβρι" w:hAnsi="ψαλιβρι"/>
          <w:b/>
          <w:bCs/>
          <w:sz w:val="22"/>
          <w:szCs w:val="22"/>
        </w:rPr>
        <w:t>only if</w:t>
      </w:r>
      <w:r w:rsidRPr="003A1233">
        <w:rPr>
          <w:rFonts w:ascii="ψαλιβρι" w:hAnsi="ψαλιβρι"/>
          <w:sz w:val="22"/>
          <w:szCs w:val="22"/>
        </w:rPr>
        <w:t xml:space="preserve"> it does not imply accreditation of the company itself.</w:t>
      </w:r>
    </w:p>
    <w:p w14:paraId="5C8A7960" w14:textId="0DE2BF2A" w:rsidR="00AC1624" w:rsidRPr="003A1233" w:rsidRDefault="00AC1624" w:rsidP="00AC1624">
      <w:pPr>
        <w:pStyle w:val="Standard"/>
        <w:spacing w:line="360" w:lineRule="auto"/>
        <w:jc w:val="both"/>
        <w:rPr>
          <w:rFonts w:ascii="ψαλιβρι" w:hAnsi="ψαλιβρι" w:hint="eastAsia"/>
          <w:sz w:val="22"/>
          <w:szCs w:val="22"/>
        </w:rPr>
      </w:pPr>
      <w:r w:rsidRPr="003A1233">
        <w:rPr>
          <w:rFonts w:ascii="ψαλιβρι" w:hAnsi="ψαλιβρι"/>
          <w:sz w:val="22"/>
          <w:szCs w:val="22"/>
        </w:rPr>
        <w:t xml:space="preserve">The </w:t>
      </w:r>
      <w:r w:rsidR="007F60F3" w:rsidRPr="003A1233">
        <w:rPr>
          <w:rFonts w:ascii="ψαλιβρι" w:hAnsi="ψαλιβρι"/>
          <w:sz w:val="22"/>
          <w:szCs w:val="22"/>
        </w:rPr>
        <w:t>VALIDX &amp; ICDQ PARTNERS</w:t>
      </w:r>
      <w:r w:rsidRPr="003A1233">
        <w:rPr>
          <w:rFonts w:ascii="ψαλιβρι" w:hAnsi="ψαλιβρι"/>
          <w:sz w:val="22"/>
          <w:szCs w:val="22"/>
        </w:rPr>
        <w:t xml:space="preserve"> logo must:</w:t>
      </w:r>
    </w:p>
    <w:p w14:paraId="475F37C8" w14:textId="77777777" w:rsidR="00AC1624" w:rsidRPr="003A1233" w:rsidRDefault="00AC1624" w:rsidP="00AC1624">
      <w:pPr>
        <w:pStyle w:val="Standard"/>
        <w:numPr>
          <w:ilvl w:val="0"/>
          <w:numId w:val="4"/>
        </w:numPr>
        <w:spacing w:line="360" w:lineRule="auto"/>
        <w:jc w:val="both"/>
        <w:rPr>
          <w:rFonts w:ascii="ψαλιβρι" w:hAnsi="ψαλιβρι" w:hint="eastAsia"/>
          <w:sz w:val="22"/>
          <w:szCs w:val="22"/>
        </w:rPr>
      </w:pPr>
      <w:r w:rsidRPr="003A1233">
        <w:rPr>
          <w:rFonts w:ascii="ψαλιβρι" w:hAnsi="ψαλιβρι"/>
          <w:sz w:val="22"/>
          <w:szCs w:val="22"/>
        </w:rPr>
        <w:t>Not be altered, distorted, or used in a misleading context.</w:t>
      </w:r>
    </w:p>
    <w:p w14:paraId="2AEBE0AE" w14:textId="77777777" w:rsidR="00AC1624" w:rsidRPr="003A1233" w:rsidRDefault="00AC1624" w:rsidP="00AC1624">
      <w:pPr>
        <w:pStyle w:val="Standard"/>
        <w:numPr>
          <w:ilvl w:val="0"/>
          <w:numId w:val="4"/>
        </w:numPr>
        <w:spacing w:line="360" w:lineRule="auto"/>
        <w:jc w:val="both"/>
        <w:rPr>
          <w:rFonts w:ascii="ψαλιβρι" w:hAnsi="ψαλιβρι" w:hint="eastAsia"/>
          <w:sz w:val="22"/>
          <w:szCs w:val="22"/>
        </w:rPr>
      </w:pPr>
      <w:r w:rsidRPr="003A1233">
        <w:rPr>
          <w:rFonts w:ascii="ψαλιβρι" w:hAnsi="ψαλιβρι"/>
          <w:sz w:val="22"/>
          <w:szCs w:val="22"/>
        </w:rPr>
        <w:t>Maintain a proportional scale and visual integrity.</w:t>
      </w:r>
    </w:p>
    <w:p w14:paraId="361731B4" w14:textId="77777777" w:rsidR="00AC1624" w:rsidRPr="003A1233" w:rsidRDefault="00AC1624" w:rsidP="00AC1624">
      <w:pPr>
        <w:pStyle w:val="Standard"/>
        <w:numPr>
          <w:ilvl w:val="0"/>
          <w:numId w:val="4"/>
        </w:numPr>
        <w:spacing w:line="360" w:lineRule="auto"/>
        <w:jc w:val="both"/>
        <w:rPr>
          <w:rFonts w:ascii="ψαλιβρι" w:hAnsi="ψαλιβρι" w:hint="eastAsia"/>
          <w:sz w:val="22"/>
          <w:szCs w:val="22"/>
        </w:rPr>
      </w:pPr>
      <w:r w:rsidRPr="003A1233">
        <w:rPr>
          <w:rFonts w:ascii="ψαλιβρι" w:hAnsi="ψαλιβρι"/>
          <w:sz w:val="22"/>
          <w:szCs w:val="22"/>
        </w:rPr>
        <w:t>Be displayed with appropriate white space surrounding it.</w:t>
      </w:r>
    </w:p>
    <w:p w14:paraId="32DA8C99" w14:textId="4BE876F3" w:rsidR="00AC1624" w:rsidRDefault="00AC1624" w:rsidP="00AC1624">
      <w:pPr>
        <w:pStyle w:val="Standard"/>
        <w:spacing w:line="360" w:lineRule="auto"/>
        <w:jc w:val="both"/>
        <w:rPr>
          <w:rFonts w:ascii="ψαλιβρι" w:hAnsi="ψαλιβρι" w:hint="eastAsia"/>
          <w:sz w:val="22"/>
          <w:szCs w:val="22"/>
        </w:rPr>
      </w:pPr>
    </w:p>
    <w:p w14:paraId="28C2C796" w14:textId="77777777" w:rsidR="00853D41" w:rsidRPr="00AC1624" w:rsidRDefault="00853D41" w:rsidP="00AC1624">
      <w:pPr>
        <w:pStyle w:val="Standard"/>
        <w:spacing w:line="360" w:lineRule="auto"/>
        <w:jc w:val="both"/>
        <w:rPr>
          <w:rFonts w:ascii="ψαλιβρι" w:hAnsi="ψαλιβρι" w:hint="eastAsia"/>
          <w:sz w:val="22"/>
          <w:szCs w:val="22"/>
        </w:rPr>
      </w:pPr>
    </w:p>
    <w:p w14:paraId="0550AAFE" w14:textId="77777777" w:rsidR="00AC1624" w:rsidRPr="00AC1624" w:rsidRDefault="00AC1624" w:rsidP="00AC1624">
      <w:pPr>
        <w:pStyle w:val="Standard"/>
        <w:spacing w:line="360" w:lineRule="auto"/>
        <w:jc w:val="both"/>
        <w:rPr>
          <w:rFonts w:ascii="ψαλιβρι" w:hAnsi="ψαλιβρι" w:hint="eastAsia"/>
          <w:b/>
          <w:bCs/>
          <w:color w:val="002060"/>
          <w:sz w:val="22"/>
          <w:szCs w:val="22"/>
        </w:rPr>
      </w:pPr>
      <w:r w:rsidRPr="00AC1624">
        <w:rPr>
          <w:rFonts w:ascii="ψαλιβρι" w:hAnsi="ψαλιβρι"/>
          <w:b/>
          <w:bCs/>
          <w:color w:val="002060"/>
          <w:sz w:val="22"/>
          <w:szCs w:val="22"/>
        </w:rPr>
        <w:t>5. Use of the ACCREDIA Mark</w:t>
      </w:r>
    </w:p>
    <w:p w14:paraId="02BC8AD9" w14:textId="77777777" w:rsidR="00AC1624" w:rsidRPr="00AC1624" w:rsidRDefault="00AC1624" w:rsidP="00AC1624">
      <w:pPr>
        <w:pStyle w:val="Standard"/>
        <w:spacing w:line="360" w:lineRule="auto"/>
        <w:jc w:val="both"/>
        <w:rPr>
          <w:rFonts w:ascii="ψαλιβρι" w:hAnsi="ψαλιβρι" w:hint="eastAsia"/>
          <w:sz w:val="22"/>
          <w:szCs w:val="22"/>
        </w:rPr>
      </w:pPr>
      <w:r w:rsidRPr="00AC1624">
        <w:rPr>
          <w:rFonts w:ascii="ψαλιβρι" w:hAnsi="ψαλιβρι"/>
          <w:sz w:val="22"/>
          <w:szCs w:val="22"/>
        </w:rPr>
        <w:t>The use of the ACCREDIA accreditation mark must strictly comply with the provisions of:</w:t>
      </w:r>
    </w:p>
    <w:p w14:paraId="16275FA1" w14:textId="77777777" w:rsidR="00AC1624" w:rsidRPr="003A1233" w:rsidRDefault="00AC1624" w:rsidP="00AC1624">
      <w:pPr>
        <w:pStyle w:val="Standard"/>
        <w:spacing w:line="360" w:lineRule="auto"/>
        <w:jc w:val="both"/>
        <w:rPr>
          <w:rFonts w:ascii="ψαλιβρι" w:hAnsi="ψαλιβρι" w:hint="eastAsia"/>
          <w:sz w:val="22"/>
          <w:szCs w:val="22"/>
        </w:rPr>
      </w:pPr>
      <w:r w:rsidRPr="003A1233">
        <w:rPr>
          <w:rFonts w:ascii="ψαλιβρι" w:hAnsi="ψαλιβρι"/>
          <w:b/>
          <w:bCs/>
          <w:sz w:val="22"/>
          <w:szCs w:val="22"/>
        </w:rPr>
        <w:t>ACCREDIA REGULATION RG-09 – “Regulation for the use of the ACCREDIA mark”</w:t>
      </w:r>
    </w:p>
    <w:p w14:paraId="7F8C7130" w14:textId="77777777" w:rsidR="00AC1624" w:rsidRPr="003A1233" w:rsidRDefault="00AC1624" w:rsidP="00AC1624">
      <w:pPr>
        <w:pStyle w:val="Standard"/>
        <w:spacing w:line="360" w:lineRule="auto"/>
        <w:jc w:val="both"/>
        <w:rPr>
          <w:rFonts w:ascii="ψαλιβρι" w:hAnsi="ψαλιβρι" w:hint="eastAsia"/>
          <w:sz w:val="22"/>
          <w:szCs w:val="22"/>
        </w:rPr>
      </w:pPr>
      <w:r w:rsidRPr="003A1233">
        <w:rPr>
          <w:rFonts w:ascii="ψαλιβρι" w:hAnsi="ψαλιβρι"/>
          <w:sz w:val="22"/>
          <w:szCs w:val="22"/>
        </w:rPr>
        <w:t xml:space="preserve">Clients and authorized entities may only use the ACCREDIA mark </w:t>
      </w:r>
      <w:r w:rsidRPr="003A1233">
        <w:rPr>
          <w:rFonts w:ascii="ψαλιβρι" w:hAnsi="ψαλιβρι"/>
          <w:b/>
          <w:bCs/>
          <w:sz w:val="22"/>
          <w:szCs w:val="22"/>
        </w:rPr>
        <w:t>under the following rules</w:t>
      </w:r>
      <w:r w:rsidRPr="003A1233">
        <w:rPr>
          <w:rFonts w:ascii="ψαλιβρι" w:hAnsi="ψαλιβρι"/>
          <w:sz w:val="22"/>
          <w:szCs w:val="22"/>
        </w:rPr>
        <w:t>:</w:t>
      </w:r>
    </w:p>
    <w:p w14:paraId="49DF3D24" w14:textId="4FDE928A" w:rsidR="00AC1624" w:rsidRPr="003A1233" w:rsidRDefault="00AC1624" w:rsidP="00AC1624">
      <w:pPr>
        <w:pStyle w:val="Standard"/>
        <w:numPr>
          <w:ilvl w:val="0"/>
          <w:numId w:val="5"/>
        </w:numPr>
        <w:spacing w:line="360" w:lineRule="auto"/>
        <w:jc w:val="both"/>
        <w:rPr>
          <w:rFonts w:ascii="ψαλιβρι" w:hAnsi="ψαλιβρι" w:hint="eastAsia"/>
          <w:sz w:val="22"/>
          <w:szCs w:val="22"/>
        </w:rPr>
      </w:pPr>
      <w:r w:rsidRPr="003A1233">
        <w:rPr>
          <w:rFonts w:ascii="ψαλιβρι" w:hAnsi="ψαλιβρι"/>
          <w:sz w:val="22"/>
          <w:szCs w:val="22"/>
        </w:rPr>
        <w:t xml:space="preserve">Only in conjunction with the </w:t>
      </w:r>
      <w:r w:rsidR="007F60F3" w:rsidRPr="003A1233">
        <w:rPr>
          <w:rFonts w:ascii="ψαλιβρι" w:hAnsi="ψαλιβρι"/>
          <w:sz w:val="22"/>
          <w:szCs w:val="22"/>
        </w:rPr>
        <w:t>VALIDX &amp; ICDQ PARTNERS</w:t>
      </w:r>
      <w:r w:rsidRPr="003A1233">
        <w:rPr>
          <w:rFonts w:ascii="ψαλιβρι" w:hAnsi="ψαλιβρι"/>
          <w:sz w:val="22"/>
          <w:szCs w:val="22"/>
        </w:rPr>
        <w:t xml:space="preserve"> </w:t>
      </w:r>
      <w:proofErr w:type="spellStart"/>
      <w:r w:rsidR="008D638B" w:rsidRPr="003A1233">
        <w:rPr>
          <w:rFonts w:ascii="ψαλιβρι" w:hAnsi="ψαλιβρι"/>
          <w:sz w:val="22"/>
          <w:szCs w:val="22"/>
        </w:rPr>
        <w:t>S.r.l</w:t>
      </w:r>
      <w:proofErr w:type="spellEnd"/>
      <w:r w:rsidR="008D638B" w:rsidRPr="003A1233">
        <w:rPr>
          <w:rFonts w:ascii="ψαλιβρι" w:hAnsi="ψαλιβρι"/>
          <w:sz w:val="22"/>
          <w:szCs w:val="22"/>
        </w:rPr>
        <w:t xml:space="preserve">. </w:t>
      </w:r>
      <w:r w:rsidRPr="003A1233">
        <w:rPr>
          <w:rFonts w:ascii="ψαλιβρι" w:hAnsi="ψαλιβρι"/>
          <w:sz w:val="22"/>
          <w:szCs w:val="22"/>
        </w:rPr>
        <w:t>logo, never standalone.</w:t>
      </w:r>
    </w:p>
    <w:p w14:paraId="14396DEA" w14:textId="33A920A4" w:rsidR="00AC1624" w:rsidRPr="003A1233" w:rsidRDefault="00AC1624" w:rsidP="00AC1624">
      <w:pPr>
        <w:pStyle w:val="Standard"/>
        <w:numPr>
          <w:ilvl w:val="0"/>
          <w:numId w:val="5"/>
        </w:numPr>
        <w:spacing w:line="360" w:lineRule="auto"/>
        <w:jc w:val="both"/>
        <w:rPr>
          <w:rFonts w:ascii="ψαλιβρι" w:hAnsi="ψαλιβρι" w:hint="eastAsia"/>
          <w:sz w:val="22"/>
          <w:szCs w:val="22"/>
        </w:rPr>
      </w:pPr>
      <w:r w:rsidRPr="003A1233">
        <w:rPr>
          <w:rFonts w:ascii="ψαλιβρι" w:hAnsi="ψαλιβρι"/>
          <w:sz w:val="22"/>
          <w:szCs w:val="22"/>
        </w:rPr>
        <w:t xml:space="preserve">Only when the inspected activity falls under </w:t>
      </w:r>
      <w:r w:rsidR="007F60F3" w:rsidRPr="003A1233">
        <w:rPr>
          <w:rFonts w:ascii="ψαλιβρι" w:hAnsi="ψαλιβρι"/>
          <w:sz w:val="22"/>
          <w:szCs w:val="22"/>
        </w:rPr>
        <w:t>VALIDX &amp; ICDQ PARTNERS</w:t>
      </w:r>
      <w:r w:rsidRPr="003A1233">
        <w:rPr>
          <w:rFonts w:ascii="ψαλιβρι" w:hAnsi="ψαλιβρι"/>
          <w:sz w:val="22"/>
          <w:szCs w:val="22"/>
        </w:rPr>
        <w:t xml:space="preserve">’s </w:t>
      </w:r>
      <w:r w:rsidRPr="003A1233">
        <w:rPr>
          <w:rFonts w:ascii="ψαλιβρι" w:hAnsi="ψαλιβρι"/>
          <w:b/>
          <w:bCs/>
          <w:sz w:val="22"/>
          <w:szCs w:val="22"/>
        </w:rPr>
        <w:t>accredited scope</w:t>
      </w:r>
      <w:r w:rsidRPr="003A1233">
        <w:rPr>
          <w:rFonts w:ascii="ψαλιβρι" w:hAnsi="ψαλιβρι"/>
          <w:sz w:val="22"/>
          <w:szCs w:val="22"/>
        </w:rPr>
        <w:t>.</w:t>
      </w:r>
    </w:p>
    <w:p w14:paraId="7A3A69B2" w14:textId="52815137" w:rsidR="00AC1624" w:rsidRPr="003A1233" w:rsidRDefault="00AC1624" w:rsidP="00AC1624">
      <w:pPr>
        <w:pStyle w:val="Standard"/>
        <w:numPr>
          <w:ilvl w:val="0"/>
          <w:numId w:val="5"/>
        </w:numPr>
        <w:spacing w:line="360" w:lineRule="auto"/>
        <w:jc w:val="both"/>
        <w:rPr>
          <w:rFonts w:ascii="ψαλιβρι" w:hAnsi="ψαλιβρι" w:hint="eastAsia"/>
          <w:sz w:val="22"/>
          <w:szCs w:val="22"/>
        </w:rPr>
      </w:pPr>
      <w:r w:rsidRPr="003A1233">
        <w:rPr>
          <w:rFonts w:ascii="ψαλιβρι" w:hAnsi="ψαλιβρι"/>
          <w:sz w:val="22"/>
          <w:szCs w:val="22"/>
        </w:rPr>
        <w:t xml:space="preserve">Must reference </w:t>
      </w:r>
      <w:r w:rsidR="007F60F3" w:rsidRPr="003A1233">
        <w:rPr>
          <w:rFonts w:ascii="ψαλιβρι" w:hAnsi="ψαλιβρι"/>
          <w:sz w:val="22"/>
          <w:szCs w:val="22"/>
        </w:rPr>
        <w:t>VALIDX &amp; ICDQ PARTNERS</w:t>
      </w:r>
      <w:r w:rsidRPr="003A1233">
        <w:rPr>
          <w:rFonts w:ascii="ψαλιβρι" w:hAnsi="ψαλιβρι"/>
          <w:sz w:val="22"/>
          <w:szCs w:val="22"/>
        </w:rPr>
        <w:t>’s accreditation number and the exact inspection activity performed.</w:t>
      </w:r>
    </w:p>
    <w:p w14:paraId="2DF5BAA4" w14:textId="77777777" w:rsidR="00AC1624" w:rsidRPr="003A1233" w:rsidRDefault="00AC1624" w:rsidP="00AC1624">
      <w:pPr>
        <w:pStyle w:val="Standard"/>
        <w:spacing w:line="360" w:lineRule="auto"/>
        <w:jc w:val="both"/>
        <w:rPr>
          <w:rFonts w:ascii="ψαλιβρι" w:hAnsi="ψαλιβρι" w:hint="eastAsia"/>
          <w:sz w:val="22"/>
          <w:szCs w:val="22"/>
        </w:rPr>
      </w:pPr>
      <w:r w:rsidRPr="003A1233">
        <w:rPr>
          <w:rFonts w:ascii="ψαλιβρι" w:hAnsi="ψαλιβρι"/>
          <w:sz w:val="22"/>
          <w:szCs w:val="22"/>
        </w:rPr>
        <w:t>Prohibited uses include:</w:t>
      </w:r>
    </w:p>
    <w:p w14:paraId="4705EB7C" w14:textId="77777777" w:rsidR="00AC1624" w:rsidRPr="003A1233" w:rsidRDefault="00AC1624" w:rsidP="00AC1624">
      <w:pPr>
        <w:pStyle w:val="Standard"/>
        <w:numPr>
          <w:ilvl w:val="0"/>
          <w:numId w:val="6"/>
        </w:numPr>
        <w:spacing w:line="360" w:lineRule="auto"/>
        <w:jc w:val="both"/>
        <w:rPr>
          <w:rFonts w:ascii="ψαλιβρι" w:hAnsi="ψαλιβρι" w:hint="eastAsia"/>
          <w:sz w:val="22"/>
          <w:szCs w:val="22"/>
        </w:rPr>
      </w:pPr>
      <w:r w:rsidRPr="003A1233">
        <w:rPr>
          <w:rFonts w:ascii="ψαλιβρι" w:hAnsi="ψαλιβρι"/>
          <w:sz w:val="22"/>
          <w:szCs w:val="22"/>
        </w:rPr>
        <w:t>Any implication of client accreditation,</w:t>
      </w:r>
    </w:p>
    <w:p w14:paraId="4927DFF2" w14:textId="42E5BA57" w:rsidR="00AC1624" w:rsidRPr="003A1233" w:rsidRDefault="00AC1624" w:rsidP="00AC1624">
      <w:pPr>
        <w:pStyle w:val="Standard"/>
        <w:numPr>
          <w:ilvl w:val="0"/>
          <w:numId w:val="6"/>
        </w:numPr>
        <w:spacing w:line="360" w:lineRule="auto"/>
        <w:jc w:val="both"/>
        <w:rPr>
          <w:rFonts w:ascii="ψαλιβρι" w:hAnsi="ψαλιβρι" w:hint="eastAsia"/>
          <w:sz w:val="22"/>
          <w:szCs w:val="22"/>
        </w:rPr>
      </w:pPr>
      <w:r w:rsidRPr="003A1233">
        <w:rPr>
          <w:rFonts w:ascii="ψαλιβρι" w:hAnsi="ψαλιβρι"/>
          <w:sz w:val="22"/>
          <w:szCs w:val="22"/>
        </w:rPr>
        <w:t xml:space="preserve">Inclusion on services or scopes outside </w:t>
      </w:r>
      <w:r w:rsidR="007F60F3" w:rsidRPr="003A1233">
        <w:rPr>
          <w:rFonts w:ascii="ψαλιβρι" w:hAnsi="ψαλιβρι"/>
          <w:sz w:val="22"/>
          <w:szCs w:val="22"/>
        </w:rPr>
        <w:t>VALIDX &amp; ICDQ PARTNERS</w:t>
      </w:r>
      <w:r w:rsidRPr="003A1233">
        <w:rPr>
          <w:rFonts w:ascii="ψαλιβρι" w:hAnsi="ψαλιβρι"/>
          <w:sz w:val="22"/>
          <w:szCs w:val="22"/>
        </w:rPr>
        <w:t>’s accreditation,</w:t>
      </w:r>
    </w:p>
    <w:p w14:paraId="19C70FF9" w14:textId="77777777" w:rsidR="00AC1624" w:rsidRPr="003A1233" w:rsidRDefault="00AC1624" w:rsidP="00AC1624">
      <w:pPr>
        <w:pStyle w:val="Standard"/>
        <w:numPr>
          <w:ilvl w:val="0"/>
          <w:numId w:val="6"/>
        </w:numPr>
        <w:spacing w:line="360" w:lineRule="auto"/>
        <w:jc w:val="both"/>
        <w:rPr>
          <w:rFonts w:ascii="ψαλιβρι" w:hAnsi="ψαλιβρι" w:hint="eastAsia"/>
          <w:sz w:val="22"/>
          <w:szCs w:val="22"/>
        </w:rPr>
      </w:pPr>
      <w:r w:rsidRPr="003A1233">
        <w:rPr>
          <w:rFonts w:ascii="ψαλιβρι" w:hAnsi="ψαλιβρι"/>
          <w:sz w:val="22"/>
          <w:szCs w:val="22"/>
        </w:rPr>
        <w:t>Use after withdrawal or expiration of the report.</w:t>
      </w:r>
    </w:p>
    <w:p w14:paraId="04BC7AC2" w14:textId="77777777" w:rsidR="00AC1624" w:rsidRPr="003A1233" w:rsidRDefault="00AC1624" w:rsidP="00AC1624">
      <w:pPr>
        <w:pStyle w:val="Standard"/>
        <w:spacing w:line="360" w:lineRule="auto"/>
        <w:jc w:val="both"/>
        <w:rPr>
          <w:rFonts w:ascii="ψαλιβρι" w:hAnsi="ψαλιβρι" w:hint="eastAsia"/>
          <w:sz w:val="22"/>
          <w:szCs w:val="22"/>
        </w:rPr>
      </w:pPr>
      <w:r w:rsidRPr="003A1233">
        <w:rPr>
          <w:rFonts w:ascii="ψαλιβρι" w:hAnsi="ψαλιβρι"/>
          <w:sz w:val="22"/>
          <w:szCs w:val="22"/>
        </w:rPr>
        <w:t>Copies of the ACCREDIA RG-09 Regulation are available at: https://www.accredia.it</w:t>
      </w:r>
    </w:p>
    <w:p w14:paraId="4DBE19E6" w14:textId="30282258" w:rsidR="00AC1624" w:rsidRPr="003A1233" w:rsidRDefault="00AC1624" w:rsidP="00AC1624">
      <w:pPr>
        <w:pStyle w:val="Standard"/>
        <w:spacing w:line="360" w:lineRule="auto"/>
        <w:jc w:val="both"/>
        <w:rPr>
          <w:rFonts w:ascii="ψαλιβρι" w:hAnsi="ψαλιβρι" w:hint="eastAsia"/>
          <w:sz w:val="22"/>
          <w:szCs w:val="22"/>
        </w:rPr>
      </w:pPr>
    </w:p>
    <w:p w14:paraId="10F479F4" w14:textId="77777777" w:rsidR="00AC1624" w:rsidRPr="003A1233" w:rsidRDefault="00AC1624" w:rsidP="00AC1624">
      <w:pPr>
        <w:pStyle w:val="Standard"/>
        <w:spacing w:line="360" w:lineRule="auto"/>
        <w:jc w:val="both"/>
        <w:rPr>
          <w:rFonts w:ascii="ψαλιβρι" w:hAnsi="ψαλιβρι" w:hint="eastAsia"/>
          <w:b/>
          <w:bCs/>
          <w:color w:val="002060"/>
          <w:sz w:val="22"/>
          <w:szCs w:val="22"/>
        </w:rPr>
      </w:pPr>
      <w:r w:rsidRPr="003A1233">
        <w:rPr>
          <w:rFonts w:ascii="ψαλιβρι" w:hAnsi="ψαλιβρι"/>
          <w:b/>
          <w:bCs/>
          <w:color w:val="002060"/>
          <w:sz w:val="22"/>
          <w:szCs w:val="22"/>
        </w:rPr>
        <w:t>6. Use of SERMI-Related References</w:t>
      </w:r>
    </w:p>
    <w:p w14:paraId="0DF7409D" w14:textId="77777777" w:rsidR="00AC1624" w:rsidRPr="003A1233" w:rsidRDefault="00AC1624" w:rsidP="00AC1624">
      <w:pPr>
        <w:pStyle w:val="Standard"/>
        <w:spacing w:line="360" w:lineRule="auto"/>
        <w:jc w:val="both"/>
        <w:rPr>
          <w:rFonts w:ascii="ψαλιβρι" w:hAnsi="ψαλιβρι" w:hint="eastAsia"/>
          <w:sz w:val="22"/>
          <w:szCs w:val="22"/>
        </w:rPr>
      </w:pPr>
      <w:r w:rsidRPr="003A1233">
        <w:rPr>
          <w:rFonts w:ascii="ψαλιβρι" w:hAnsi="ψαλιβρι"/>
          <w:sz w:val="22"/>
          <w:szCs w:val="22"/>
        </w:rPr>
        <w:t>Entities authorized under the SERMI scheme may use wording such as:</w:t>
      </w:r>
    </w:p>
    <w:p w14:paraId="617678A3" w14:textId="31CBA961" w:rsidR="00AC1624" w:rsidRPr="003A1233" w:rsidRDefault="00AC1624" w:rsidP="00AC1624">
      <w:pPr>
        <w:pStyle w:val="Standard"/>
        <w:spacing w:line="360" w:lineRule="auto"/>
        <w:jc w:val="both"/>
        <w:rPr>
          <w:rFonts w:ascii="ψαλιβρι" w:hAnsi="ψαλιβρι" w:hint="eastAsia"/>
          <w:sz w:val="22"/>
          <w:szCs w:val="22"/>
        </w:rPr>
      </w:pPr>
      <w:r w:rsidRPr="003A1233">
        <w:rPr>
          <w:rFonts w:ascii="ψαλιβρι" w:hAnsi="ψαλιβρι"/>
          <w:sz w:val="22"/>
          <w:szCs w:val="22"/>
        </w:rPr>
        <w:t xml:space="preserve">“Authorized under the SERMI scheme by </w:t>
      </w:r>
      <w:r w:rsidR="007F60F3" w:rsidRPr="003A1233">
        <w:rPr>
          <w:rFonts w:ascii="ψαλιβρι" w:hAnsi="ψαλιβρι"/>
          <w:sz w:val="22"/>
          <w:szCs w:val="22"/>
        </w:rPr>
        <w:t>VALIDX &amp; ICDQ PARTNERS</w:t>
      </w:r>
      <w:r w:rsidRPr="003A1233">
        <w:rPr>
          <w:rFonts w:ascii="ψαλιβρι" w:hAnsi="ψαλιβρι"/>
          <w:sz w:val="22"/>
          <w:szCs w:val="22"/>
        </w:rPr>
        <w:t>”</w:t>
      </w:r>
    </w:p>
    <w:p w14:paraId="18FEE87F" w14:textId="77777777" w:rsidR="00AC1624" w:rsidRPr="003A1233" w:rsidRDefault="00AC1624" w:rsidP="00AC1624">
      <w:pPr>
        <w:pStyle w:val="Standard"/>
        <w:spacing w:line="360" w:lineRule="auto"/>
        <w:jc w:val="both"/>
        <w:rPr>
          <w:rFonts w:ascii="ψαλιβρι" w:hAnsi="ψαλιβρι" w:hint="eastAsia"/>
          <w:sz w:val="22"/>
          <w:szCs w:val="22"/>
        </w:rPr>
      </w:pPr>
      <w:r w:rsidRPr="003A1233">
        <w:rPr>
          <w:rFonts w:ascii="ψαλιβρι" w:hAnsi="ψαλιβρι"/>
          <w:sz w:val="22"/>
          <w:szCs w:val="22"/>
        </w:rPr>
        <w:t>Conditions:</w:t>
      </w:r>
    </w:p>
    <w:p w14:paraId="062A1D77" w14:textId="77777777" w:rsidR="00AC1624" w:rsidRPr="003A1233" w:rsidRDefault="00AC1624" w:rsidP="00AC1624">
      <w:pPr>
        <w:pStyle w:val="Standard"/>
        <w:numPr>
          <w:ilvl w:val="0"/>
          <w:numId w:val="7"/>
        </w:numPr>
        <w:spacing w:line="360" w:lineRule="auto"/>
        <w:jc w:val="both"/>
        <w:rPr>
          <w:rFonts w:ascii="ψαλιβρι" w:hAnsi="ψαλιβρι" w:hint="eastAsia"/>
          <w:sz w:val="22"/>
          <w:szCs w:val="22"/>
        </w:rPr>
      </w:pPr>
      <w:r w:rsidRPr="003A1233">
        <w:rPr>
          <w:rFonts w:ascii="ψαλιβρι" w:hAnsi="ψαλιβρι"/>
          <w:sz w:val="22"/>
          <w:szCs w:val="22"/>
        </w:rPr>
        <w:t>The reference must relate only to the approved person or workshop (IO/RSS).</w:t>
      </w:r>
    </w:p>
    <w:p w14:paraId="18B92318" w14:textId="77777777" w:rsidR="00AC1624" w:rsidRPr="003A1233" w:rsidRDefault="00AC1624" w:rsidP="00AC1624">
      <w:pPr>
        <w:pStyle w:val="Standard"/>
        <w:numPr>
          <w:ilvl w:val="0"/>
          <w:numId w:val="7"/>
        </w:numPr>
        <w:spacing w:line="360" w:lineRule="auto"/>
        <w:jc w:val="both"/>
        <w:rPr>
          <w:rFonts w:ascii="ψαλιβρι" w:hAnsi="ψαλιβρι" w:hint="eastAsia"/>
          <w:sz w:val="22"/>
          <w:szCs w:val="22"/>
        </w:rPr>
      </w:pPr>
      <w:r w:rsidRPr="003A1233">
        <w:rPr>
          <w:rFonts w:ascii="ψαλιβρι" w:hAnsi="ψαλιβρι"/>
          <w:sz w:val="22"/>
          <w:szCs w:val="22"/>
        </w:rPr>
        <w:t>Use must cease upon suspension, withdrawal, or expiration of authorization.</w:t>
      </w:r>
    </w:p>
    <w:p w14:paraId="1184006D" w14:textId="77777777" w:rsidR="00AC1624" w:rsidRPr="003A1233" w:rsidRDefault="00AC1624" w:rsidP="00AC1624">
      <w:pPr>
        <w:pStyle w:val="Standard"/>
        <w:numPr>
          <w:ilvl w:val="0"/>
          <w:numId w:val="7"/>
        </w:numPr>
        <w:spacing w:line="360" w:lineRule="auto"/>
        <w:jc w:val="both"/>
        <w:rPr>
          <w:rFonts w:ascii="ψαλιβρι" w:hAnsi="ψαλιβρι" w:hint="eastAsia"/>
          <w:sz w:val="22"/>
          <w:szCs w:val="22"/>
        </w:rPr>
      </w:pPr>
      <w:r w:rsidRPr="003A1233">
        <w:rPr>
          <w:rFonts w:ascii="ψαλιβρι" w:hAnsi="ψαλιβρι"/>
          <w:sz w:val="22"/>
          <w:szCs w:val="22"/>
        </w:rPr>
        <w:t xml:space="preserve">Use of the SERMI </w:t>
      </w:r>
      <w:proofErr w:type="spellStart"/>
      <w:r w:rsidRPr="003A1233">
        <w:rPr>
          <w:rFonts w:ascii="ψαλιβρι" w:hAnsi="ψαλιβρι"/>
          <w:sz w:val="22"/>
          <w:szCs w:val="22"/>
        </w:rPr>
        <w:t>trustmark</w:t>
      </w:r>
      <w:proofErr w:type="spellEnd"/>
      <w:r w:rsidRPr="003A1233">
        <w:rPr>
          <w:rFonts w:ascii="ψαλιβρι" w:hAnsi="ψαλιβρι"/>
          <w:sz w:val="22"/>
          <w:szCs w:val="22"/>
        </w:rPr>
        <w:t>, logo, or graphic materials is prohibited unless expressly permitted by the SERMI Trust Center.</w:t>
      </w:r>
    </w:p>
    <w:p w14:paraId="10110BA0" w14:textId="10BD8BCE" w:rsidR="00AC1624" w:rsidRPr="003A1233" w:rsidRDefault="00AC1624" w:rsidP="00AC1624">
      <w:pPr>
        <w:pStyle w:val="Standard"/>
        <w:spacing w:line="360" w:lineRule="auto"/>
        <w:jc w:val="both"/>
        <w:rPr>
          <w:rFonts w:ascii="ψαλιβρι" w:hAnsi="ψαλιβρι" w:hint="eastAsia"/>
          <w:sz w:val="22"/>
          <w:szCs w:val="22"/>
        </w:rPr>
      </w:pPr>
      <w:r w:rsidRPr="003A1233">
        <w:rPr>
          <w:rFonts w:ascii="ψαλιβρι" w:hAnsi="ψαλιβρι"/>
          <w:sz w:val="22"/>
          <w:szCs w:val="22"/>
        </w:rPr>
        <w:t xml:space="preserve">Any public reference to SERMI status is subject to monitoring by </w:t>
      </w:r>
      <w:r w:rsidR="007F60F3" w:rsidRPr="003A1233">
        <w:rPr>
          <w:rFonts w:ascii="ψαλιβρι" w:hAnsi="ψαλιβρι"/>
          <w:sz w:val="22"/>
          <w:szCs w:val="22"/>
        </w:rPr>
        <w:t>VALIDX &amp; ICDQ PARTNERS</w:t>
      </w:r>
      <w:r w:rsidRPr="003A1233">
        <w:rPr>
          <w:rFonts w:ascii="ψαλιβρι" w:hAnsi="ψαλιβρι"/>
          <w:sz w:val="22"/>
          <w:szCs w:val="22"/>
        </w:rPr>
        <w:t xml:space="preserve"> and/or the SERMI Trust Center.</w:t>
      </w:r>
    </w:p>
    <w:p w14:paraId="78F7AB2D" w14:textId="0EBA4A30" w:rsidR="00AC1624" w:rsidRPr="003A1233" w:rsidRDefault="00AC1624" w:rsidP="00AC1624">
      <w:pPr>
        <w:pStyle w:val="Standard"/>
        <w:spacing w:line="360" w:lineRule="auto"/>
        <w:jc w:val="both"/>
        <w:rPr>
          <w:rFonts w:ascii="ψαλιβρι" w:hAnsi="ψαλιβρι" w:hint="eastAsia"/>
          <w:sz w:val="22"/>
          <w:szCs w:val="22"/>
        </w:rPr>
      </w:pPr>
    </w:p>
    <w:p w14:paraId="506EC413" w14:textId="77777777" w:rsidR="00AC1624" w:rsidRPr="003A1233" w:rsidRDefault="00AC1624" w:rsidP="00AC1624">
      <w:pPr>
        <w:pStyle w:val="Standard"/>
        <w:spacing w:line="360" w:lineRule="auto"/>
        <w:jc w:val="both"/>
        <w:rPr>
          <w:rFonts w:ascii="ψαλιβρι" w:hAnsi="ψαλιβρι" w:hint="eastAsia"/>
          <w:b/>
          <w:bCs/>
          <w:color w:val="002060"/>
          <w:sz w:val="22"/>
          <w:szCs w:val="22"/>
        </w:rPr>
      </w:pPr>
      <w:r w:rsidRPr="003A1233">
        <w:rPr>
          <w:rFonts w:ascii="ψαλιβρι" w:hAnsi="ψαλιβρι"/>
          <w:b/>
          <w:bCs/>
          <w:color w:val="002060"/>
          <w:sz w:val="22"/>
          <w:szCs w:val="22"/>
        </w:rPr>
        <w:t>7. Prohibited Uses</w:t>
      </w:r>
    </w:p>
    <w:p w14:paraId="4464E7F1" w14:textId="77777777" w:rsidR="00AC1624" w:rsidRPr="003A1233" w:rsidRDefault="00AC1624" w:rsidP="00AC1624">
      <w:pPr>
        <w:pStyle w:val="Standard"/>
        <w:spacing w:line="360" w:lineRule="auto"/>
        <w:jc w:val="both"/>
        <w:rPr>
          <w:rFonts w:ascii="ψαλιβρι" w:hAnsi="ψαλιβρι" w:hint="eastAsia"/>
          <w:sz w:val="22"/>
          <w:szCs w:val="22"/>
        </w:rPr>
      </w:pPr>
      <w:r w:rsidRPr="003A1233">
        <w:rPr>
          <w:rFonts w:ascii="ψαλιβρι" w:hAnsi="ψαλιβρι"/>
          <w:sz w:val="22"/>
          <w:szCs w:val="22"/>
        </w:rPr>
        <w:t>It is strictly forbidden to:</w:t>
      </w:r>
    </w:p>
    <w:p w14:paraId="6E22D6A0" w14:textId="3CDBA6C9" w:rsidR="00AC1624" w:rsidRPr="003A1233" w:rsidRDefault="00AC1624" w:rsidP="00AC1624">
      <w:pPr>
        <w:pStyle w:val="Standard"/>
        <w:numPr>
          <w:ilvl w:val="0"/>
          <w:numId w:val="8"/>
        </w:numPr>
        <w:spacing w:line="360" w:lineRule="auto"/>
        <w:jc w:val="both"/>
        <w:rPr>
          <w:rFonts w:ascii="ψαλιβρι" w:hAnsi="ψαλιβρι" w:hint="eastAsia"/>
          <w:sz w:val="22"/>
          <w:szCs w:val="22"/>
        </w:rPr>
      </w:pPr>
      <w:r w:rsidRPr="003A1233">
        <w:rPr>
          <w:rFonts w:ascii="ψαλιβρι" w:hAnsi="ψαλιβρι"/>
          <w:sz w:val="22"/>
          <w:szCs w:val="22"/>
        </w:rPr>
        <w:t xml:space="preserve">Display </w:t>
      </w:r>
      <w:r w:rsidR="007F60F3" w:rsidRPr="003A1233">
        <w:rPr>
          <w:rFonts w:ascii="ψαλιβρι" w:hAnsi="ψαλιβρι"/>
          <w:sz w:val="22"/>
          <w:szCs w:val="22"/>
        </w:rPr>
        <w:t>VALIDX &amp; ICDQ PARTNERS</w:t>
      </w:r>
      <w:r w:rsidRPr="003A1233">
        <w:rPr>
          <w:rFonts w:ascii="ψαλιβρι" w:hAnsi="ψαλιβρι"/>
          <w:sz w:val="22"/>
          <w:szCs w:val="22"/>
        </w:rPr>
        <w:t xml:space="preserve"> or ACCREDIA logos on uninspected or non-conforming products/services,</w:t>
      </w:r>
    </w:p>
    <w:p w14:paraId="49909C4E" w14:textId="77777777" w:rsidR="00AC1624" w:rsidRPr="003A1233" w:rsidRDefault="00AC1624" w:rsidP="00AC1624">
      <w:pPr>
        <w:pStyle w:val="Standard"/>
        <w:numPr>
          <w:ilvl w:val="0"/>
          <w:numId w:val="8"/>
        </w:numPr>
        <w:spacing w:line="360" w:lineRule="auto"/>
        <w:jc w:val="both"/>
        <w:rPr>
          <w:rFonts w:ascii="ψαλιβρι" w:hAnsi="ψαλιβρι" w:hint="eastAsia"/>
          <w:sz w:val="22"/>
          <w:szCs w:val="22"/>
        </w:rPr>
      </w:pPr>
      <w:r w:rsidRPr="003A1233">
        <w:rPr>
          <w:rFonts w:ascii="ψαλιβρι" w:hAnsi="ψαλιβρι"/>
          <w:sz w:val="22"/>
          <w:szCs w:val="22"/>
        </w:rPr>
        <w:t>Imply or state that the organization is accredited,</w:t>
      </w:r>
    </w:p>
    <w:p w14:paraId="4BC930A1" w14:textId="77777777" w:rsidR="00AC1624" w:rsidRPr="003A1233" w:rsidRDefault="00AC1624" w:rsidP="00AC1624">
      <w:pPr>
        <w:pStyle w:val="Standard"/>
        <w:numPr>
          <w:ilvl w:val="0"/>
          <w:numId w:val="8"/>
        </w:numPr>
        <w:spacing w:line="360" w:lineRule="auto"/>
        <w:jc w:val="both"/>
        <w:rPr>
          <w:rFonts w:ascii="ψαλιβρι" w:hAnsi="ψαλιβρι" w:hint="eastAsia"/>
          <w:sz w:val="22"/>
          <w:szCs w:val="22"/>
        </w:rPr>
      </w:pPr>
      <w:r w:rsidRPr="003A1233">
        <w:rPr>
          <w:rFonts w:ascii="ψαλιβρι" w:hAnsi="ψαλιβρι"/>
          <w:sz w:val="22"/>
          <w:szCs w:val="22"/>
        </w:rPr>
        <w:t>Use the logo in any way that could mislead customers,</w:t>
      </w:r>
    </w:p>
    <w:p w14:paraId="005B7798" w14:textId="77777777" w:rsidR="00AC1624" w:rsidRPr="003A1233" w:rsidRDefault="00AC1624" w:rsidP="00AC1624">
      <w:pPr>
        <w:pStyle w:val="Standard"/>
        <w:numPr>
          <w:ilvl w:val="0"/>
          <w:numId w:val="8"/>
        </w:numPr>
        <w:spacing w:line="360" w:lineRule="auto"/>
        <w:jc w:val="both"/>
        <w:rPr>
          <w:rFonts w:ascii="ψαλιβρι" w:hAnsi="ψαλιβρι" w:hint="eastAsia"/>
          <w:sz w:val="22"/>
          <w:szCs w:val="22"/>
        </w:rPr>
      </w:pPr>
      <w:r w:rsidRPr="003A1233">
        <w:rPr>
          <w:rFonts w:ascii="ψαλιβρι" w:hAnsi="ψαλιβρι"/>
          <w:sz w:val="22"/>
          <w:szCs w:val="22"/>
        </w:rPr>
        <w:t>Use SERMI-related references prior to or after authorization validity,</w:t>
      </w:r>
    </w:p>
    <w:p w14:paraId="5007B34C" w14:textId="77777777" w:rsidR="00AC1624" w:rsidRPr="003A1233" w:rsidRDefault="00AC1624" w:rsidP="00AC1624">
      <w:pPr>
        <w:pStyle w:val="Standard"/>
        <w:numPr>
          <w:ilvl w:val="0"/>
          <w:numId w:val="8"/>
        </w:numPr>
        <w:spacing w:line="360" w:lineRule="auto"/>
        <w:jc w:val="both"/>
        <w:rPr>
          <w:rFonts w:ascii="ψαλιβρι" w:hAnsi="ψαλιβρι" w:hint="eastAsia"/>
          <w:sz w:val="22"/>
          <w:szCs w:val="22"/>
        </w:rPr>
      </w:pPr>
      <w:r w:rsidRPr="003A1233">
        <w:rPr>
          <w:rFonts w:ascii="ψαλιβρι" w:hAnsi="ψαλιβρι"/>
          <w:sz w:val="22"/>
          <w:szCs w:val="22"/>
        </w:rPr>
        <w:lastRenderedPageBreak/>
        <w:t>Modify or redesign any official mark.</w:t>
      </w:r>
    </w:p>
    <w:p w14:paraId="5276437A" w14:textId="1BBCBA1A" w:rsidR="00AC1624" w:rsidRPr="003A1233" w:rsidRDefault="00AC1624" w:rsidP="00AC1624">
      <w:pPr>
        <w:pStyle w:val="Standard"/>
        <w:spacing w:line="360" w:lineRule="auto"/>
        <w:jc w:val="both"/>
        <w:rPr>
          <w:rFonts w:ascii="ψαλιβρι" w:hAnsi="ψαλιβρι" w:hint="eastAsia"/>
          <w:sz w:val="22"/>
          <w:szCs w:val="22"/>
        </w:rPr>
      </w:pPr>
    </w:p>
    <w:p w14:paraId="1E077185" w14:textId="77777777" w:rsidR="00AC1624" w:rsidRPr="003A1233" w:rsidRDefault="00AC1624" w:rsidP="00AC1624">
      <w:pPr>
        <w:pStyle w:val="Standard"/>
        <w:spacing w:line="360" w:lineRule="auto"/>
        <w:jc w:val="both"/>
        <w:rPr>
          <w:rFonts w:ascii="ψαλιβρι" w:hAnsi="ψαλιβρι" w:hint="eastAsia"/>
          <w:b/>
          <w:bCs/>
          <w:color w:val="002060"/>
          <w:sz w:val="22"/>
          <w:szCs w:val="22"/>
        </w:rPr>
      </w:pPr>
      <w:r w:rsidRPr="003A1233">
        <w:rPr>
          <w:rFonts w:ascii="ψαλιβρι" w:hAnsi="ψαλιβρι"/>
          <w:b/>
          <w:bCs/>
          <w:color w:val="002060"/>
          <w:sz w:val="22"/>
          <w:szCs w:val="22"/>
        </w:rPr>
        <w:t>8. Consequences of Misuse</w:t>
      </w:r>
    </w:p>
    <w:p w14:paraId="1E9AB8C3" w14:textId="243BD303" w:rsidR="00AC1624" w:rsidRPr="003A1233" w:rsidRDefault="00AC1624" w:rsidP="00AC1624">
      <w:pPr>
        <w:pStyle w:val="Standard"/>
        <w:spacing w:line="360" w:lineRule="auto"/>
        <w:jc w:val="both"/>
        <w:rPr>
          <w:rFonts w:ascii="ψαλιβρι" w:hAnsi="ψαλιβρι" w:hint="eastAsia"/>
          <w:sz w:val="22"/>
          <w:szCs w:val="22"/>
        </w:rPr>
      </w:pPr>
      <w:r w:rsidRPr="003A1233">
        <w:rPr>
          <w:rFonts w:ascii="ψαλιβρι" w:hAnsi="ψαλιβρι"/>
          <w:sz w:val="22"/>
          <w:szCs w:val="22"/>
        </w:rPr>
        <w:t xml:space="preserve">In cases of misuse, </w:t>
      </w:r>
      <w:r w:rsidR="007F60F3" w:rsidRPr="003A1233">
        <w:rPr>
          <w:rFonts w:ascii="ψαλιβρι" w:hAnsi="ψαλιβρι"/>
          <w:sz w:val="22"/>
          <w:szCs w:val="22"/>
        </w:rPr>
        <w:t>VALIDX &amp; ICDQ PARTNERS</w:t>
      </w:r>
      <w:r w:rsidRPr="003A1233">
        <w:rPr>
          <w:rFonts w:ascii="ψαλιβρι" w:hAnsi="ψαλιβρι"/>
          <w:sz w:val="22"/>
          <w:szCs w:val="22"/>
        </w:rPr>
        <w:t xml:space="preserve"> reserves the right to:</w:t>
      </w:r>
    </w:p>
    <w:p w14:paraId="30AEC238" w14:textId="77777777" w:rsidR="00AC1624" w:rsidRPr="003A1233" w:rsidRDefault="00AC1624" w:rsidP="00AC1624">
      <w:pPr>
        <w:pStyle w:val="Standard"/>
        <w:numPr>
          <w:ilvl w:val="0"/>
          <w:numId w:val="9"/>
        </w:numPr>
        <w:spacing w:line="360" w:lineRule="auto"/>
        <w:jc w:val="both"/>
        <w:rPr>
          <w:rFonts w:ascii="ψαλιβρι" w:hAnsi="ψαλιβρι" w:hint="eastAsia"/>
          <w:sz w:val="22"/>
          <w:szCs w:val="22"/>
        </w:rPr>
      </w:pPr>
      <w:r w:rsidRPr="003A1233">
        <w:rPr>
          <w:rFonts w:ascii="ψαλιβρι" w:hAnsi="ψαλιβρι"/>
          <w:sz w:val="22"/>
          <w:szCs w:val="22"/>
        </w:rPr>
        <w:t>Issue written warnings,</w:t>
      </w:r>
    </w:p>
    <w:p w14:paraId="3B5DACB8" w14:textId="77777777" w:rsidR="00AC1624" w:rsidRPr="003A1233" w:rsidRDefault="00AC1624" w:rsidP="00AC1624">
      <w:pPr>
        <w:pStyle w:val="Standard"/>
        <w:numPr>
          <w:ilvl w:val="0"/>
          <w:numId w:val="9"/>
        </w:numPr>
        <w:spacing w:line="360" w:lineRule="auto"/>
        <w:jc w:val="both"/>
        <w:rPr>
          <w:rFonts w:ascii="ψαλιβρι" w:hAnsi="ψαλιβρι" w:hint="eastAsia"/>
          <w:sz w:val="22"/>
          <w:szCs w:val="22"/>
        </w:rPr>
      </w:pPr>
      <w:r w:rsidRPr="003A1233">
        <w:rPr>
          <w:rFonts w:ascii="ψαλιβρι" w:hAnsi="ψαλιβρι"/>
          <w:sz w:val="22"/>
          <w:szCs w:val="22"/>
        </w:rPr>
        <w:t>Request immediate withdrawal of material,</w:t>
      </w:r>
    </w:p>
    <w:p w14:paraId="13B7E889" w14:textId="77777777" w:rsidR="00AC1624" w:rsidRPr="003A1233" w:rsidRDefault="00AC1624" w:rsidP="00AC1624">
      <w:pPr>
        <w:pStyle w:val="Standard"/>
        <w:numPr>
          <w:ilvl w:val="0"/>
          <w:numId w:val="9"/>
        </w:numPr>
        <w:spacing w:line="360" w:lineRule="auto"/>
        <w:jc w:val="both"/>
        <w:rPr>
          <w:rFonts w:ascii="ψαλιβρι" w:hAnsi="ψαλιβρι" w:hint="eastAsia"/>
          <w:sz w:val="22"/>
          <w:szCs w:val="22"/>
        </w:rPr>
      </w:pPr>
      <w:r w:rsidRPr="003A1233">
        <w:rPr>
          <w:rFonts w:ascii="ψαλιβρι" w:hAnsi="ψαλιβρι"/>
          <w:sz w:val="22"/>
          <w:szCs w:val="22"/>
        </w:rPr>
        <w:t>Suspend or withdraw inspection certificates or SERMI authorizations,</w:t>
      </w:r>
    </w:p>
    <w:p w14:paraId="11609382" w14:textId="77777777" w:rsidR="00AC1624" w:rsidRPr="003A1233" w:rsidRDefault="00AC1624" w:rsidP="00AC1624">
      <w:pPr>
        <w:pStyle w:val="Standard"/>
        <w:numPr>
          <w:ilvl w:val="0"/>
          <w:numId w:val="9"/>
        </w:numPr>
        <w:spacing w:line="360" w:lineRule="auto"/>
        <w:jc w:val="both"/>
        <w:rPr>
          <w:rFonts w:ascii="ψαλιβρι" w:hAnsi="ψαλιβρι" w:hint="eastAsia"/>
          <w:sz w:val="22"/>
          <w:szCs w:val="22"/>
        </w:rPr>
      </w:pPr>
      <w:r w:rsidRPr="003A1233">
        <w:rPr>
          <w:rFonts w:ascii="ψαλιβρι" w:hAnsi="ψαλιβρι"/>
          <w:sz w:val="22"/>
          <w:szCs w:val="22"/>
        </w:rPr>
        <w:t>Notify ACCREDIA and/or the SERMI Trust Center,</w:t>
      </w:r>
    </w:p>
    <w:p w14:paraId="41079D7F" w14:textId="77777777" w:rsidR="00AC1624" w:rsidRPr="003A1233" w:rsidRDefault="00AC1624" w:rsidP="00AC1624">
      <w:pPr>
        <w:pStyle w:val="Standard"/>
        <w:numPr>
          <w:ilvl w:val="0"/>
          <w:numId w:val="9"/>
        </w:numPr>
        <w:spacing w:line="360" w:lineRule="auto"/>
        <w:jc w:val="both"/>
        <w:rPr>
          <w:rFonts w:ascii="ψαλιβρι" w:hAnsi="ψαλιβρι" w:hint="eastAsia"/>
          <w:sz w:val="22"/>
          <w:szCs w:val="22"/>
        </w:rPr>
      </w:pPr>
      <w:r w:rsidRPr="003A1233">
        <w:rPr>
          <w:rFonts w:ascii="ψαλιβρι" w:hAnsi="ψαλιβρι"/>
          <w:sz w:val="22"/>
          <w:szCs w:val="22"/>
        </w:rPr>
        <w:t>Take legal action where necessary.</w:t>
      </w:r>
    </w:p>
    <w:p w14:paraId="5C31DE9C" w14:textId="323C46CC" w:rsidR="00AC1624" w:rsidRPr="003A1233" w:rsidRDefault="00AC1624" w:rsidP="00AC1624">
      <w:pPr>
        <w:pStyle w:val="Standard"/>
        <w:spacing w:line="360" w:lineRule="auto"/>
        <w:jc w:val="both"/>
        <w:rPr>
          <w:rFonts w:ascii="ψαλιβρι" w:hAnsi="ψαλιβρι" w:hint="eastAsia"/>
          <w:sz w:val="22"/>
          <w:szCs w:val="22"/>
        </w:rPr>
      </w:pPr>
    </w:p>
    <w:p w14:paraId="0035FFD6" w14:textId="77777777" w:rsidR="00AC1624" w:rsidRPr="003A1233" w:rsidRDefault="00AC1624" w:rsidP="00AC1624">
      <w:pPr>
        <w:pStyle w:val="Standard"/>
        <w:spacing w:line="360" w:lineRule="auto"/>
        <w:jc w:val="both"/>
        <w:rPr>
          <w:rFonts w:ascii="ψαλιβρι" w:hAnsi="ψαλιβρι" w:hint="eastAsia"/>
          <w:b/>
          <w:bCs/>
          <w:color w:val="002060"/>
          <w:sz w:val="22"/>
          <w:szCs w:val="22"/>
        </w:rPr>
      </w:pPr>
      <w:r w:rsidRPr="003A1233">
        <w:rPr>
          <w:rFonts w:ascii="ψαλιβρι" w:hAnsi="ψαλιβρι"/>
          <w:b/>
          <w:bCs/>
          <w:color w:val="002060"/>
          <w:sz w:val="22"/>
          <w:szCs w:val="22"/>
        </w:rPr>
        <w:t>9. Oversight and Monitoring</w:t>
      </w:r>
    </w:p>
    <w:p w14:paraId="32A45D34" w14:textId="71AE12E8" w:rsidR="00AC1624" w:rsidRPr="003A1233" w:rsidRDefault="007F60F3" w:rsidP="00AC1624">
      <w:pPr>
        <w:pStyle w:val="Standard"/>
        <w:spacing w:line="360" w:lineRule="auto"/>
        <w:jc w:val="both"/>
        <w:rPr>
          <w:rFonts w:ascii="ψαλιβρι" w:hAnsi="ψαλιβρι" w:hint="eastAsia"/>
          <w:sz w:val="22"/>
          <w:szCs w:val="22"/>
        </w:rPr>
      </w:pPr>
      <w:r w:rsidRPr="003A1233">
        <w:rPr>
          <w:rFonts w:ascii="ψαλιβρι" w:hAnsi="ψαλιβρι"/>
          <w:sz w:val="22"/>
          <w:szCs w:val="22"/>
        </w:rPr>
        <w:t>VALIDX &amp; ICDQ PARTNERS</w:t>
      </w:r>
      <w:r w:rsidR="00AC1624" w:rsidRPr="003A1233">
        <w:rPr>
          <w:rFonts w:ascii="ψαλιβρι" w:hAnsi="ψαλιβρι"/>
          <w:sz w:val="22"/>
          <w:szCs w:val="22"/>
        </w:rPr>
        <w:t xml:space="preserve"> will monitor the use of its logo and associated marks. Random checks and formal reviews will be performed to ensure compliance. Suspected misuse may be investigated without prior notice.</w:t>
      </w:r>
    </w:p>
    <w:p w14:paraId="66987107" w14:textId="4D74C14C" w:rsidR="00AC1624" w:rsidRPr="003A1233" w:rsidRDefault="00AC1624" w:rsidP="00AC1624">
      <w:pPr>
        <w:pStyle w:val="Standard"/>
        <w:spacing w:line="360" w:lineRule="auto"/>
        <w:jc w:val="both"/>
        <w:rPr>
          <w:rFonts w:ascii="ψαλιβρι" w:hAnsi="ψαλιβρι" w:hint="eastAsia"/>
          <w:sz w:val="22"/>
          <w:szCs w:val="22"/>
        </w:rPr>
      </w:pPr>
    </w:p>
    <w:p w14:paraId="0134F94E" w14:textId="77777777" w:rsidR="00AC1624" w:rsidRPr="003A1233" w:rsidRDefault="00AC1624" w:rsidP="00AC1624">
      <w:pPr>
        <w:pStyle w:val="Standard"/>
        <w:spacing w:line="360" w:lineRule="auto"/>
        <w:jc w:val="both"/>
        <w:rPr>
          <w:rFonts w:ascii="ψαλιβρι" w:hAnsi="ψαλιβρι" w:hint="eastAsia"/>
          <w:b/>
          <w:bCs/>
          <w:color w:val="002060"/>
          <w:sz w:val="22"/>
          <w:szCs w:val="22"/>
        </w:rPr>
      </w:pPr>
      <w:r w:rsidRPr="003A1233">
        <w:rPr>
          <w:rFonts w:ascii="ψαλιβρι" w:hAnsi="ψαλιβρι"/>
          <w:b/>
          <w:bCs/>
          <w:color w:val="002060"/>
          <w:sz w:val="22"/>
          <w:szCs w:val="22"/>
        </w:rPr>
        <w:t>10. References</w:t>
      </w:r>
    </w:p>
    <w:p w14:paraId="684CDE0E" w14:textId="77777777" w:rsidR="00AC1624" w:rsidRPr="003A1233" w:rsidRDefault="00AC1624" w:rsidP="00AC1624">
      <w:pPr>
        <w:pStyle w:val="Standard"/>
        <w:numPr>
          <w:ilvl w:val="0"/>
          <w:numId w:val="10"/>
        </w:numPr>
        <w:spacing w:line="360" w:lineRule="auto"/>
        <w:jc w:val="both"/>
        <w:rPr>
          <w:rFonts w:ascii="ψαλιβρι" w:hAnsi="ψαλιβρι" w:hint="eastAsia"/>
          <w:sz w:val="22"/>
          <w:szCs w:val="22"/>
        </w:rPr>
      </w:pPr>
      <w:r w:rsidRPr="003A1233">
        <w:rPr>
          <w:rFonts w:ascii="ψαλιβρι" w:hAnsi="ψαλιβρι"/>
          <w:sz w:val="22"/>
          <w:szCs w:val="22"/>
        </w:rPr>
        <w:t>ISO/IEC 17020:2012, Clause 7.1.3</w:t>
      </w:r>
    </w:p>
    <w:p w14:paraId="67EFAC2E" w14:textId="77777777" w:rsidR="00AC1624" w:rsidRPr="003A1233" w:rsidRDefault="00AC1624" w:rsidP="00AC1624">
      <w:pPr>
        <w:pStyle w:val="Standard"/>
        <w:numPr>
          <w:ilvl w:val="0"/>
          <w:numId w:val="10"/>
        </w:numPr>
        <w:spacing w:line="360" w:lineRule="auto"/>
        <w:jc w:val="both"/>
        <w:rPr>
          <w:rFonts w:ascii="ψαλιβρι" w:hAnsi="ψαλιβρι" w:hint="eastAsia"/>
          <w:sz w:val="22"/>
          <w:szCs w:val="22"/>
        </w:rPr>
      </w:pPr>
      <w:r w:rsidRPr="003A1233">
        <w:rPr>
          <w:rFonts w:ascii="ψαλιβρι" w:hAnsi="ψαλιβρι"/>
          <w:sz w:val="22"/>
          <w:szCs w:val="22"/>
        </w:rPr>
        <w:t>ACCREDIA Regulation RG-09</w:t>
      </w:r>
    </w:p>
    <w:p w14:paraId="70AD57FE" w14:textId="77777777" w:rsidR="00AC1624" w:rsidRPr="003A1233" w:rsidRDefault="00AC1624" w:rsidP="00AC1624">
      <w:pPr>
        <w:pStyle w:val="Standard"/>
        <w:numPr>
          <w:ilvl w:val="0"/>
          <w:numId w:val="10"/>
        </w:numPr>
        <w:spacing w:line="360" w:lineRule="auto"/>
        <w:jc w:val="both"/>
        <w:rPr>
          <w:rFonts w:ascii="ψαλιβρι" w:hAnsi="ψαλιβρι" w:hint="eastAsia"/>
          <w:sz w:val="22"/>
          <w:szCs w:val="22"/>
        </w:rPr>
      </w:pPr>
      <w:r w:rsidRPr="003A1233">
        <w:rPr>
          <w:rFonts w:ascii="ψαλιβρι" w:hAnsi="ψαλιβρι"/>
          <w:sz w:val="22"/>
          <w:szCs w:val="22"/>
        </w:rPr>
        <w:t>SERMI Scheme – Authorization and Communication Guidelines</w:t>
      </w:r>
    </w:p>
    <w:p w14:paraId="4515B212" w14:textId="4611B696" w:rsidR="00AC1624" w:rsidRPr="003A1233" w:rsidRDefault="007F60F3" w:rsidP="00AC1624">
      <w:pPr>
        <w:pStyle w:val="Standard"/>
        <w:numPr>
          <w:ilvl w:val="0"/>
          <w:numId w:val="10"/>
        </w:numPr>
        <w:spacing w:line="360" w:lineRule="auto"/>
        <w:jc w:val="both"/>
        <w:rPr>
          <w:rFonts w:ascii="ψαλιβρι" w:hAnsi="ψαλιβρι" w:hint="eastAsia"/>
          <w:sz w:val="22"/>
          <w:szCs w:val="22"/>
        </w:rPr>
      </w:pPr>
      <w:r w:rsidRPr="003A1233">
        <w:rPr>
          <w:rFonts w:ascii="ψαλιβρι" w:hAnsi="ψαλιβρι"/>
          <w:sz w:val="22"/>
          <w:szCs w:val="22"/>
        </w:rPr>
        <w:t>VALIDX &amp; ICDQ PARTNERS</w:t>
      </w:r>
      <w:r w:rsidR="00AC1624" w:rsidRPr="003A1233">
        <w:rPr>
          <w:rFonts w:ascii="ψαλιβρι" w:hAnsi="ψαλιβρι"/>
          <w:sz w:val="22"/>
          <w:szCs w:val="22"/>
        </w:rPr>
        <w:t xml:space="preserve"> Procedure D.01 – Document and Record Control</w:t>
      </w:r>
    </w:p>
    <w:p w14:paraId="6C5D2DAF" w14:textId="16C117A6" w:rsidR="00AC1624" w:rsidRPr="003A1233" w:rsidRDefault="007F60F3" w:rsidP="00AC1624">
      <w:pPr>
        <w:pStyle w:val="Standard"/>
        <w:numPr>
          <w:ilvl w:val="0"/>
          <w:numId w:val="10"/>
        </w:numPr>
        <w:spacing w:line="360" w:lineRule="auto"/>
        <w:jc w:val="both"/>
        <w:rPr>
          <w:rFonts w:ascii="ψαλιβρι" w:hAnsi="ψαλιβρι" w:hint="eastAsia"/>
          <w:sz w:val="22"/>
          <w:szCs w:val="22"/>
        </w:rPr>
      </w:pPr>
      <w:r w:rsidRPr="003A1233">
        <w:rPr>
          <w:rFonts w:ascii="ψαλιβρι" w:hAnsi="ψαλιβρι"/>
          <w:sz w:val="22"/>
          <w:szCs w:val="22"/>
        </w:rPr>
        <w:t>VALIDX &amp; ICDQ PARTNERS</w:t>
      </w:r>
      <w:r w:rsidR="00AC1624" w:rsidRPr="003A1233">
        <w:rPr>
          <w:rFonts w:ascii="ψαλιβρι" w:hAnsi="ψαλιβρι"/>
          <w:sz w:val="22"/>
          <w:szCs w:val="22"/>
        </w:rPr>
        <w:t xml:space="preserve"> Procedure D.04 – Complaints and Appeals</w:t>
      </w:r>
    </w:p>
    <w:p w14:paraId="0F99D43C" w14:textId="77777777" w:rsidR="00CA176C" w:rsidRPr="003A1233" w:rsidRDefault="00CA176C" w:rsidP="00040EDA">
      <w:pPr>
        <w:pStyle w:val="Standard"/>
        <w:spacing w:line="360" w:lineRule="auto"/>
        <w:jc w:val="both"/>
        <w:rPr>
          <w:rFonts w:ascii="ψαλιβρι" w:hAnsi="ψαλιβρι" w:hint="eastAsia"/>
          <w:sz w:val="22"/>
          <w:szCs w:val="22"/>
        </w:rPr>
      </w:pPr>
    </w:p>
    <w:p w14:paraId="26D7D81F" w14:textId="77777777" w:rsidR="00CA176C" w:rsidRPr="003A1233" w:rsidRDefault="00CA176C" w:rsidP="00CA176C">
      <w:pPr>
        <w:pStyle w:val="Standard"/>
        <w:spacing w:line="360" w:lineRule="auto"/>
        <w:rPr>
          <w:rFonts w:ascii="ψαλιβρι" w:hAnsi="ψαλιβρι" w:hint="eastAsia"/>
          <w:b/>
          <w:bCs/>
          <w:sz w:val="18"/>
          <w:szCs w:val="18"/>
          <w:u w:val="single"/>
        </w:rPr>
      </w:pPr>
      <w:r w:rsidRPr="003A1233">
        <w:rPr>
          <w:rFonts w:ascii="ψαλιβρι" w:hAnsi="ψαλιβρι"/>
          <w:b/>
          <w:bCs/>
          <w:sz w:val="18"/>
          <w:szCs w:val="18"/>
          <w:u w:val="single"/>
        </w:rPr>
        <w:t>Note to Users</w:t>
      </w:r>
    </w:p>
    <w:p w14:paraId="046F01F8" w14:textId="418AE99D" w:rsidR="00CA176C" w:rsidRPr="003A1233" w:rsidRDefault="00CA176C" w:rsidP="00CA176C">
      <w:pPr>
        <w:pStyle w:val="Standard"/>
        <w:spacing w:line="360" w:lineRule="auto"/>
        <w:rPr>
          <w:rFonts w:ascii="ψαλιβρι" w:hAnsi="ψαλιβρι" w:hint="eastAsia"/>
          <w:sz w:val="18"/>
          <w:szCs w:val="18"/>
          <w:u w:val="single"/>
        </w:rPr>
        <w:sectPr w:rsidR="00CA176C" w:rsidRPr="003A1233" w:rsidSect="002222D2">
          <w:headerReference w:type="default" r:id="rId11"/>
          <w:pgSz w:w="11906" w:h="16838"/>
          <w:pgMar w:top="1134" w:right="1134" w:bottom="1134" w:left="1134" w:header="720" w:footer="720" w:gutter="0"/>
          <w:cols w:space="720"/>
          <w:titlePg/>
          <w:docGrid w:linePitch="326"/>
        </w:sectPr>
      </w:pPr>
    </w:p>
    <w:p w14:paraId="65AD07CE" w14:textId="44E0DD4B" w:rsidR="00AC1624" w:rsidRPr="00AC1624" w:rsidRDefault="00AC1624" w:rsidP="00AC1624">
      <w:pPr>
        <w:pStyle w:val="Standard"/>
        <w:spacing w:line="360" w:lineRule="auto"/>
        <w:jc w:val="both"/>
        <w:rPr>
          <w:rFonts w:ascii="ψαλιβρι" w:hAnsi="ψαλιβρι" w:hint="eastAsia"/>
          <w:sz w:val="18"/>
          <w:szCs w:val="18"/>
        </w:rPr>
      </w:pPr>
      <w:r w:rsidRPr="003A1233">
        <w:rPr>
          <w:rFonts w:ascii="ψαλιβρι" w:hAnsi="ψαλιβρι"/>
          <w:sz w:val="18"/>
          <w:szCs w:val="18"/>
        </w:rPr>
        <w:t xml:space="preserve">This Regulation applies exclusively to inspection services and SERMI authorizations falling under </w:t>
      </w:r>
      <w:r w:rsidR="007F60F3" w:rsidRPr="003A1233">
        <w:rPr>
          <w:rFonts w:ascii="ψαλιβρι" w:hAnsi="ψαλιβρι"/>
          <w:sz w:val="18"/>
          <w:szCs w:val="18"/>
        </w:rPr>
        <w:t>VALIDX &amp; ICDQ PARTNERS</w:t>
      </w:r>
      <w:r w:rsidRPr="003A1233">
        <w:rPr>
          <w:rFonts w:ascii="ψαλιβρι" w:hAnsi="ψαλιβρι"/>
          <w:sz w:val="18"/>
          <w:szCs w:val="18"/>
        </w:rPr>
        <w:t xml:space="preserve">'s accreditation to ISO/IEC 17020. For certified products or processes under ISO/IEC 17065, refer to </w:t>
      </w:r>
      <w:r w:rsidR="007F60F3" w:rsidRPr="003A1233">
        <w:rPr>
          <w:rFonts w:ascii="ψαλιβρι" w:hAnsi="ψαλιβρι"/>
          <w:sz w:val="18"/>
          <w:szCs w:val="18"/>
        </w:rPr>
        <w:t xml:space="preserve">VALIDX </w:t>
      </w:r>
      <w:r w:rsidR="00C32BFD" w:rsidRPr="003A1233">
        <w:rPr>
          <w:rFonts w:ascii="ψαλιβρι" w:hAnsi="ψαλιβρι"/>
          <w:sz w:val="18"/>
          <w:szCs w:val="18"/>
        </w:rPr>
        <w:t>GROUP</w:t>
      </w:r>
      <w:r w:rsidRPr="003A1233">
        <w:rPr>
          <w:rFonts w:ascii="ψαλιβρι" w:hAnsi="ψαλιβρι"/>
          <w:sz w:val="18"/>
          <w:szCs w:val="18"/>
        </w:rPr>
        <w:t xml:space="preserve"> Regulation </w:t>
      </w:r>
      <w:r w:rsidRPr="003A1233">
        <w:rPr>
          <w:rFonts w:ascii="ψαλιβρι" w:hAnsi="ψαλιβρι"/>
          <w:b/>
          <w:bCs/>
          <w:sz w:val="18"/>
          <w:szCs w:val="18"/>
        </w:rPr>
        <w:t>GOR.04 – Logo Use Regulation (Product Certification – ISO 17065)</w:t>
      </w:r>
      <w:r w:rsidRPr="003A1233">
        <w:rPr>
          <w:rFonts w:ascii="ψαλιβρι" w:hAnsi="ψαλιβρι"/>
          <w:sz w:val="18"/>
          <w:szCs w:val="18"/>
        </w:rPr>
        <w:t>.</w:t>
      </w:r>
    </w:p>
    <w:p w14:paraId="3AB04BC1" w14:textId="77777777" w:rsidR="00AC1624" w:rsidRPr="00CA176C" w:rsidRDefault="00AC1624" w:rsidP="00CA176C">
      <w:pPr>
        <w:pStyle w:val="Standard"/>
        <w:spacing w:line="360" w:lineRule="auto"/>
        <w:jc w:val="both"/>
        <w:rPr>
          <w:rFonts w:ascii="ψαλιβρι" w:hAnsi="ψαλιβρι" w:hint="eastAsia"/>
          <w:sz w:val="18"/>
          <w:szCs w:val="18"/>
        </w:rPr>
      </w:pPr>
    </w:p>
    <w:p w14:paraId="6C7152D7" w14:textId="77777777" w:rsidR="002222D2" w:rsidRPr="002222D2" w:rsidRDefault="002222D2" w:rsidP="002222D2">
      <w:pPr>
        <w:spacing w:line="360" w:lineRule="auto"/>
        <w:jc w:val="both"/>
        <w:rPr>
          <w:rFonts w:ascii="ψαλιβρι" w:hAnsi="ψαλιβρι" w:hint="eastAsia"/>
          <w:b/>
          <w:bCs/>
          <w:sz w:val="22"/>
          <w:szCs w:val="22"/>
        </w:rPr>
      </w:pPr>
      <w:r w:rsidRPr="002222D2">
        <w:rPr>
          <w:rFonts w:ascii="ψαλιβρι" w:hAnsi="ψαλιβρι"/>
          <w:b/>
          <w:bCs/>
          <w:sz w:val="22"/>
          <w:szCs w:val="22"/>
        </w:rPr>
        <w:t>Amendments</w:t>
      </w:r>
    </w:p>
    <w:tbl>
      <w:tblPr>
        <w:tblpPr w:leftFromText="180" w:rightFromText="180" w:bottomFromText="160" w:vertAnchor="text" w:horzAnchor="margin" w:tblpXSpec="center" w:tblpY="32"/>
        <w:tblW w:w="11052" w:type="dxa"/>
        <w:tblLayout w:type="fixed"/>
        <w:tblCellMar>
          <w:left w:w="70" w:type="dxa"/>
          <w:right w:w="70" w:type="dxa"/>
        </w:tblCellMar>
        <w:tblLook w:val="04A0" w:firstRow="1" w:lastRow="0" w:firstColumn="1" w:lastColumn="0" w:noHBand="0" w:noVBand="1"/>
      </w:tblPr>
      <w:tblGrid>
        <w:gridCol w:w="988"/>
        <w:gridCol w:w="992"/>
        <w:gridCol w:w="3685"/>
        <w:gridCol w:w="1985"/>
        <w:gridCol w:w="2126"/>
        <w:gridCol w:w="1276"/>
      </w:tblGrid>
      <w:tr w:rsidR="002222D2" w:rsidRPr="002222D2" w14:paraId="6C08B4F0" w14:textId="77777777" w:rsidTr="00471276">
        <w:tc>
          <w:tcPr>
            <w:tcW w:w="988" w:type="dxa"/>
            <w:tcBorders>
              <w:top w:val="single" w:sz="4" w:space="0" w:color="000000"/>
              <w:left w:val="single" w:sz="4" w:space="0" w:color="000000"/>
              <w:bottom w:val="single" w:sz="4" w:space="0" w:color="000080"/>
              <w:right w:val="nil"/>
            </w:tcBorders>
            <w:hideMark/>
          </w:tcPr>
          <w:p w14:paraId="5284024F" w14:textId="77777777" w:rsidR="002222D2" w:rsidRPr="002222D2" w:rsidRDefault="002222D2" w:rsidP="009E421A">
            <w:pPr>
              <w:spacing w:line="360" w:lineRule="auto"/>
              <w:jc w:val="both"/>
              <w:rPr>
                <w:rFonts w:ascii="ψαλιβρι" w:hAnsi="ψαλιβρι" w:hint="eastAsia"/>
                <w:b/>
                <w:bCs/>
                <w:sz w:val="22"/>
                <w:szCs w:val="22"/>
              </w:rPr>
            </w:pPr>
            <w:r w:rsidRPr="002222D2">
              <w:rPr>
                <w:rFonts w:ascii="ψαλιβρι" w:hAnsi="ψαλιβρι"/>
                <w:b/>
                <w:bCs/>
                <w:sz w:val="22"/>
                <w:szCs w:val="22"/>
              </w:rPr>
              <w:t>Edition</w:t>
            </w:r>
          </w:p>
        </w:tc>
        <w:tc>
          <w:tcPr>
            <w:tcW w:w="992" w:type="dxa"/>
            <w:tcBorders>
              <w:top w:val="single" w:sz="4" w:space="0" w:color="000000"/>
              <w:left w:val="single" w:sz="4" w:space="0" w:color="000000"/>
              <w:bottom w:val="single" w:sz="4" w:space="0" w:color="000080"/>
              <w:right w:val="nil"/>
            </w:tcBorders>
            <w:hideMark/>
          </w:tcPr>
          <w:p w14:paraId="2D596273" w14:textId="77777777" w:rsidR="002222D2" w:rsidRPr="002222D2" w:rsidRDefault="002222D2" w:rsidP="009E421A">
            <w:pPr>
              <w:spacing w:line="360" w:lineRule="auto"/>
              <w:jc w:val="both"/>
              <w:rPr>
                <w:rFonts w:ascii="ψαλιβρι" w:hAnsi="ψαλιβρι" w:hint="eastAsia"/>
                <w:b/>
                <w:bCs/>
                <w:sz w:val="22"/>
                <w:szCs w:val="22"/>
              </w:rPr>
            </w:pPr>
            <w:r w:rsidRPr="002222D2">
              <w:rPr>
                <w:rFonts w:ascii="ψαλιβρι" w:hAnsi="ψαλιβρι"/>
                <w:b/>
                <w:bCs/>
                <w:sz w:val="22"/>
                <w:szCs w:val="22"/>
              </w:rPr>
              <w:t>Chapter</w:t>
            </w:r>
          </w:p>
        </w:tc>
        <w:tc>
          <w:tcPr>
            <w:tcW w:w="3685" w:type="dxa"/>
            <w:tcBorders>
              <w:top w:val="single" w:sz="4" w:space="0" w:color="000000"/>
              <w:left w:val="single" w:sz="4" w:space="0" w:color="000000"/>
              <w:bottom w:val="single" w:sz="4" w:space="0" w:color="000080"/>
              <w:right w:val="nil"/>
            </w:tcBorders>
            <w:hideMark/>
          </w:tcPr>
          <w:p w14:paraId="59228FC5" w14:textId="77777777" w:rsidR="002222D2" w:rsidRPr="002222D2" w:rsidRDefault="002222D2" w:rsidP="009E421A">
            <w:pPr>
              <w:spacing w:line="360" w:lineRule="auto"/>
              <w:jc w:val="both"/>
              <w:rPr>
                <w:rFonts w:ascii="ψαλιβρι" w:hAnsi="ψαλιβρι" w:hint="eastAsia"/>
                <w:b/>
                <w:bCs/>
                <w:sz w:val="22"/>
                <w:szCs w:val="22"/>
              </w:rPr>
            </w:pPr>
            <w:r w:rsidRPr="002222D2">
              <w:rPr>
                <w:rFonts w:ascii="ψαλιβρι" w:hAnsi="ψαλιβρι"/>
                <w:b/>
                <w:bCs/>
                <w:sz w:val="22"/>
                <w:szCs w:val="22"/>
              </w:rPr>
              <w:t>Cause &amp; signs of modification</w:t>
            </w:r>
          </w:p>
        </w:tc>
        <w:tc>
          <w:tcPr>
            <w:tcW w:w="1985" w:type="dxa"/>
            <w:tcBorders>
              <w:top w:val="single" w:sz="4" w:space="0" w:color="000000"/>
              <w:left w:val="single" w:sz="4" w:space="0" w:color="000000"/>
              <w:bottom w:val="single" w:sz="4" w:space="0" w:color="000080"/>
              <w:right w:val="single" w:sz="4" w:space="0" w:color="000000"/>
            </w:tcBorders>
            <w:hideMark/>
          </w:tcPr>
          <w:p w14:paraId="1DF26909" w14:textId="77777777" w:rsidR="002222D2" w:rsidRPr="002222D2" w:rsidRDefault="002222D2" w:rsidP="009E421A">
            <w:pPr>
              <w:spacing w:line="360" w:lineRule="auto"/>
              <w:jc w:val="both"/>
              <w:rPr>
                <w:rFonts w:ascii="ψαλιβρι" w:hAnsi="ψαλιβρι" w:hint="eastAsia"/>
                <w:b/>
                <w:bCs/>
                <w:sz w:val="22"/>
                <w:szCs w:val="22"/>
              </w:rPr>
            </w:pPr>
            <w:r w:rsidRPr="002222D2">
              <w:rPr>
                <w:rFonts w:ascii="ψαλιβρι" w:hAnsi="ψαλιβρι"/>
                <w:b/>
                <w:bCs/>
                <w:sz w:val="22"/>
                <w:szCs w:val="22"/>
              </w:rPr>
              <w:t>Drafted by</w:t>
            </w:r>
          </w:p>
        </w:tc>
        <w:tc>
          <w:tcPr>
            <w:tcW w:w="2126" w:type="dxa"/>
            <w:tcBorders>
              <w:top w:val="single" w:sz="4" w:space="0" w:color="000000"/>
              <w:left w:val="single" w:sz="4" w:space="0" w:color="000000"/>
              <w:bottom w:val="single" w:sz="4" w:space="0" w:color="000080"/>
              <w:right w:val="nil"/>
            </w:tcBorders>
            <w:hideMark/>
          </w:tcPr>
          <w:p w14:paraId="77B44A65" w14:textId="77777777" w:rsidR="002222D2" w:rsidRPr="002222D2" w:rsidRDefault="002222D2" w:rsidP="009E421A">
            <w:pPr>
              <w:spacing w:line="360" w:lineRule="auto"/>
              <w:jc w:val="both"/>
              <w:rPr>
                <w:rFonts w:ascii="ψαλιβρι" w:hAnsi="ψαλιβρι" w:hint="eastAsia"/>
                <w:b/>
                <w:bCs/>
                <w:sz w:val="22"/>
                <w:szCs w:val="22"/>
              </w:rPr>
            </w:pPr>
            <w:r w:rsidRPr="002222D2">
              <w:rPr>
                <w:rFonts w:ascii="ψαλιβρι" w:hAnsi="ψαλιβρι"/>
                <w:b/>
                <w:bCs/>
                <w:sz w:val="22"/>
                <w:szCs w:val="22"/>
              </w:rPr>
              <w:t>Approved by</w:t>
            </w:r>
          </w:p>
        </w:tc>
        <w:tc>
          <w:tcPr>
            <w:tcW w:w="1276" w:type="dxa"/>
            <w:tcBorders>
              <w:top w:val="single" w:sz="4" w:space="0" w:color="000000"/>
              <w:left w:val="single" w:sz="4" w:space="0" w:color="000000"/>
              <w:bottom w:val="single" w:sz="4" w:space="0" w:color="000080"/>
              <w:right w:val="single" w:sz="4" w:space="0" w:color="000000"/>
            </w:tcBorders>
            <w:hideMark/>
          </w:tcPr>
          <w:p w14:paraId="5A96F382" w14:textId="77777777" w:rsidR="002222D2" w:rsidRPr="002222D2" w:rsidRDefault="002222D2" w:rsidP="009E421A">
            <w:pPr>
              <w:spacing w:line="360" w:lineRule="auto"/>
              <w:jc w:val="both"/>
              <w:rPr>
                <w:rFonts w:ascii="ψαλιβρι" w:hAnsi="ψαλιβρι" w:hint="eastAsia"/>
                <w:b/>
                <w:bCs/>
                <w:sz w:val="22"/>
                <w:szCs w:val="22"/>
              </w:rPr>
            </w:pPr>
            <w:r w:rsidRPr="002222D2">
              <w:rPr>
                <w:rFonts w:ascii="ψαλιβρι" w:hAnsi="ψαλιβρι"/>
                <w:b/>
                <w:bCs/>
                <w:sz w:val="22"/>
                <w:szCs w:val="22"/>
              </w:rPr>
              <w:t>Date</w:t>
            </w:r>
          </w:p>
        </w:tc>
      </w:tr>
      <w:tr w:rsidR="002222D2" w:rsidRPr="002222D2" w14:paraId="2CA428A9" w14:textId="77777777" w:rsidTr="00471276">
        <w:trPr>
          <w:trHeight w:val="379"/>
        </w:trPr>
        <w:tc>
          <w:tcPr>
            <w:tcW w:w="988" w:type="dxa"/>
            <w:tcBorders>
              <w:top w:val="single" w:sz="4" w:space="0" w:color="000080"/>
              <w:left w:val="single" w:sz="4" w:space="0" w:color="000080"/>
              <w:bottom w:val="single" w:sz="4" w:space="0" w:color="000080"/>
              <w:right w:val="nil"/>
            </w:tcBorders>
            <w:hideMark/>
          </w:tcPr>
          <w:p w14:paraId="25125EEA" w14:textId="5E4D8F30" w:rsidR="002222D2" w:rsidRPr="002222D2" w:rsidRDefault="00471276" w:rsidP="009E421A">
            <w:pPr>
              <w:spacing w:line="360" w:lineRule="auto"/>
              <w:jc w:val="both"/>
              <w:rPr>
                <w:rFonts w:ascii="ψαλιβρι" w:hAnsi="ψαλιβρι" w:hint="eastAsia"/>
                <w:sz w:val="22"/>
                <w:szCs w:val="22"/>
              </w:rPr>
            </w:pPr>
            <w:r>
              <w:rPr>
                <w:rFonts w:ascii="Calibri" w:hAnsi="Calibri" w:cstheme="majorHAnsi"/>
                <w:lang w:val="en-GB"/>
              </w:rPr>
              <w:t xml:space="preserve">v.1 -&gt; </w:t>
            </w:r>
            <w:r w:rsidRPr="00A20021">
              <w:rPr>
                <w:rFonts w:ascii="Calibri" w:hAnsi="Calibri" w:cstheme="majorHAnsi"/>
                <w:b/>
                <w:bCs/>
                <w:lang w:val="en-GB"/>
              </w:rPr>
              <w:t>v.</w:t>
            </w:r>
            <w:r>
              <w:rPr>
                <w:rFonts w:ascii="Calibri" w:hAnsi="Calibri" w:cstheme="majorHAnsi"/>
                <w:b/>
                <w:bCs/>
                <w:lang w:val="en-GB"/>
              </w:rPr>
              <w:t>2</w:t>
            </w:r>
          </w:p>
        </w:tc>
        <w:tc>
          <w:tcPr>
            <w:tcW w:w="992" w:type="dxa"/>
            <w:tcBorders>
              <w:top w:val="single" w:sz="4" w:space="0" w:color="000080"/>
              <w:left w:val="single" w:sz="4" w:space="0" w:color="000000"/>
              <w:bottom w:val="single" w:sz="4" w:space="0" w:color="000080"/>
              <w:right w:val="nil"/>
            </w:tcBorders>
            <w:hideMark/>
          </w:tcPr>
          <w:p w14:paraId="4CCFF712" w14:textId="77777777" w:rsidR="002222D2" w:rsidRPr="002222D2" w:rsidRDefault="002222D2" w:rsidP="009E421A">
            <w:pPr>
              <w:spacing w:line="360" w:lineRule="auto"/>
              <w:jc w:val="both"/>
              <w:rPr>
                <w:rFonts w:ascii="ψαλιβρι" w:hAnsi="ψαλιβρι" w:hint="eastAsia"/>
                <w:sz w:val="22"/>
                <w:szCs w:val="22"/>
              </w:rPr>
            </w:pPr>
            <w:r w:rsidRPr="002222D2">
              <w:rPr>
                <w:rFonts w:ascii="ψαλιβρι" w:hAnsi="ψαλιβρι"/>
                <w:sz w:val="22"/>
                <w:szCs w:val="22"/>
              </w:rPr>
              <w:t>Overall</w:t>
            </w:r>
          </w:p>
        </w:tc>
        <w:tc>
          <w:tcPr>
            <w:tcW w:w="3685" w:type="dxa"/>
            <w:tcBorders>
              <w:top w:val="single" w:sz="4" w:space="0" w:color="000080"/>
              <w:left w:val="single" w:sz="4" w:space="0" w:color="000000"/>
              <w:bottom w:val="single" w:sz="4" w:space="0" w:color="000080"/>
              <w:right w:val="nil"/>
            </w:tcBorders>
            <w:hideMark/>
          </w:tcPr>
          <w:p w14:paraId="614652FE" w14:textId="77777777" w:rsidR="002222D2" w:rsidRPr="002222D2" w:rsidRDefault="002222D2" w:rsidP="009E421A">
            <w:pPr>
              <w:spacing w:line="276" w:lineRule="auto"/>
              <w:rPr>
                <w:rFonts w:ascii="ψαλιβρι" w:hAnsi="ψαλιβρι" w:hint="eastAsia"/>
                <w:sz w:val="22"/>
                <w:szCs w:val="22"/>
              </w:rPr>
            </w:pPr>
            <w:r w:rsidRPr="002222D2">
              <w:rPr>
                <w:rFonts w:ascii="ψαλιβρι" w:hAnsi="ψαλιβρι"/>
                <w:sz w:val="22"/>
                <w:szCs w:val="22"/>
              </w:rPr>
              <w:t>Format Change and Group Structure Information Showcasing the relationship with the new entity VALIDX and the IMS Implementation</w:t>
            </w:r>
          </w:p>
        </w:tc>
        <w:tc>
          <w:tcPr>
            <w:tcW w:w="1985" w:type="dxa"/>
            <w:tcBorders>
              <w:top w:val="single" w:sz="4" w:space="0" w:color="000080"/>
              <w:left w:val="single" w:sz="4" w:space="0" w:color="000000"/>
              <w:bottom w:val="single" w:sz="4" w:space="0" w:color="000080"/>
              <w:right w:val="nil"/>
            </w:tcBorders>
            <w:vAlign w:val="center"/>
            <w:hideMark/>
          </w:tcPr>
          <w:p w14:paraId="61EAB1DD" w14:textId="77777777" w:rsidR="002222D2" w:rsidRPr="002222D2" w:rsidRDefault="002222D2" w:rsidP="009E421A">
            <w:pPr>
              <w:spacing w:line="276" w:lineRule="auto"/>
              <w:rPr>
                <w:rFonts w:ascii="ψαλιβρι" w:hAnsi="ψαλιβρι" w:hint="eastAsia"/>
                <w:sz w:val="22"/>
                <w:szCs w:val="22"/>
              </w:rPr>
            </w:pPr>
            <w:r w:rsidRPr="002222D2">
              <w:rPr>
                <w:rFonts w:ascii="ψαλιβρι" w:hAnsi="ψαλιβρι"/>
                <w:sz w:val="22"/>
                <w:szCs w:val="22"/>
              </w:rPr>
              <w:t>Athanasios Arvanitis (Quality Manager)</w:t>
            </w:r>
          </w:p>
        </w:tc>
        <w:tc>
          <w:tcPr>
            <w:tcW w:w="2126" w:type="dxa"/>
            <w:tcBorders>
              <w:top w:val="single" w:sz="4" w:space="0" w:color="000080"/>
              <w:left w:val="single" w:sz="4" w:space="0" w:color="000000"/>
              <w:bottom w:val="single" w:sz="4" w:space="0" w:color="000080"/>
              <w:right w:val="single" w:sz="4" w:space="0" w:color="000000"/>
            </w:tcBorders>
            <w:vAlign w:val="center"/>
            <w:hideMark/>
          </w:tcPr>
          <w:p w14:paraId="03B65217" w14:textId="77777777" w:rsidR="002222D2" w:rsidRPr="00853D41" w:rsidRDefault="002222D2" w:rsidP="009E421A">
            <w:pPr>
              <w:spacing w:line="276" w:lineRule="auto"/>
              <w:jc w:val="both"/>
              <w:rPr>
                <w:rFonts w:ascii="ψαλιβρι" w:hAnsi="ψαλιβρι" w:hint="eastAsia"/>
                <w:sz w:val="22"/>
                <w:szCs w:val="22"/>
                <w:lang w:val="it-IT"/>
              </w:rPr>
            </w:pPr>
            <w:r w:rsidRPr="00853D41">
              <w:rPr>
                <w:rFonts w:ascii="ψαλιβρι" w:hAnsi="ψαλιβρι"/>
                <w:sz w:val="22"/>
                <w:szCs w:val="22"/>
                <w:lang w:val="it-IT"/>
              </w:rPr>
              <w:t>Angelos Koulouridis</w:t>
            </w:r>
          </w:p>
          <w:p w14:paraId="0477F7ED" w14:textId="77777777" w:rsidR="002222D2" w:rsidRPr="00853D41" w:rsidRDefault="002222D2" w:rsidP="009E421A">
            <w:pPr>
              <w:spacing w:line="276" w:lineRule="auto"/>
              <w:jc w:val="both"/>
              <w:rPr>
                <w:rFonts w:ascii="ψαλιβρι" w:hAnsi="ψαλιβρι" w:hint="eastAsia"/>
                <w:sz w:val="22"/>
                <w:szCs w:val="22"/>
                <w:lang w:val="it-IT"/>
              </w:rPr>
            </w:pPr>
            <w:r w:rsidRPr="00853D41">
              <w:rPr>
                <w:rFonts w:ascii="ψαλιβρι" w:hAnsi="ψαλιβρι"/>
                <w:sz w:val="22"/>
                <w:szCs w:val="22"/>
                <w:lang w:val="it-IT"/>
              </w:rPr>
              <w:t>Stergios Zarifidis</w:t>
            </w:r>
          </w:p>
          <w:p w14:paraId="096F0216" w14:textId="77777777" w:rsidR="002222D2" w:rsidRPr="00853D41" w:rsidRDefault="002222D2" w:rsidP="009E421A">
            <w:pPr>
              <w:spacing w:line="276" w:lineRule="auto"/>
              <w:jc w:val="both"/>
              <w:rPr>
                <w:rFonts w:ascii="ψαλιβρι" w:hAnsi="ψαλιβρι" w:hint="eastAsia"/>
                <w:sz w:val="22"/>
                <w:szCs w:val="22"/>
                <w:lang w:val="it-IT"/>
              </w:rPr>
            </w:pPr>
            <w:r w:rsidRPr="00853D41">
              <w:rPr>
                <w:rFonts w:ascii="ψαλιβρι" w:hAnsi="ψαλιβρι"/>
                <w:sz w:val="22"/>
                <w:szCs w:val="22"/>
                <w:lang w:val="it-IT"/>
              </w:rPr>
              <w:t>Sara Pellegrino</w:t>
            </w:r>
          </w:p>
        </w:tc>
        <w:tc>
          <w:tcPr>
            <w:tcW w:w="1276" w:type="dxa"/>
            <w:tcBorders>
              <w:top w:val="single" w:sz="4" w:space="0" w:color="000080"/>
              <w:left w:val="single" w:sz="4" w:space="0" w:color="000000"/>
              <w:bottom w:val="single" w:sz="4" w:space="0" w:color="000080"/>
              <w:right w:val="single" w:sz="4" w:space="0" w:color="000080"/>
            </w:tcBorders>
            <w:vAlign w:val="center"/>
            <w:hideMark/>
          </w:tcPr>
          <w:p w14:paraId="02AFC84F" w14:textId="77777777" w:rsidR="002222D2" w:rsidRPr="002222D2" w:rsidRDefault="002222D2" w:rsidP="009E421A">
            <w:pPr>
              <w:spacing w:line="360" w:lineRule="auto"/>
              <w:jc w:val="both"/>
              <w:rPr>
                <w:rFonts w:ascii="ψαλιβρι" w:hAnsi="ψαλιβρι" w:hint="eastAsia"/>
                <w:sz w:val="22"/>
                <w:szCs w:val="22"/>
              </w:rPr>
            </w:pPr>
            <w:r w:rsidRPr="002222D2">
              <w:rPr>
                <w:rFonts w:ascii="ψαλιβρι" w:hAnsi="ψαλιβρι"/>
                <w:sz w:val="22"/>
                <w:szCs w:val="22"/>
              </w:rPr>
              <w:t>13/05/2025</w:t>
            </w:r>
          </w:p>
        </w:tc>
      </w:tr>
      <w:tr w:rsidR="00C32BFD" w:rsidRPr="002222D2" w14:paraId="4A6BB29B" w14:textId="77777777" w:rsidTr="00471276">
        <w:trPr>
          <w:trHeight w:val="379"/>
        </w:trPr>
        <w:tc>
          <w:tcPr>
            <w:tcW w:w="988" w:type="dxa"/>
            <w:tcBorders>
              <w:top w:val="single" w:sz="4" w:space="0" w:color="000080"/>
              <w:left w:val="single" w:sz="4" w:space="0" w:color="000080"/>
              <w:bottom w:val="single" w:sz="4" w:space="0" w:color="000080"/>
              <w:right w:val="nil"/>
            </w:tcBorders>
          </w:tcPr>
          <w:p w14:paraId="369CD58D" w14:textId="56B9C874" w:rsidR="00C32BFD" w:rsidRPr="003A1233" w:rsidRDefault="00C32BFD" w:rsidP="00C32BFD">
            <w:pPr>
              <w:spacing w:line="360" w:lineRule="auto"/>
              <w:jc w:val="both"/>
              <w:rPr>
                <w:rFonts w:ascii="Calibri" w:hAnsi="Calibri" w:cstheme="majorHAnsi"/>
                <w:lang w:val="en-GB"/>
              </w:rPr>
            </w:pPr>
            <w:r w:rsidRPr="003A1233">
              <w:rPr>
                <w:rFonts w:ascii="DDT Book" w:hAnsi="DDT Book"/>
                <w:sz w:val="20"/>
                <w:szCs w:val="20"/>
              </w:rPr>
              <w:t xml:space="preserve">v. 2 -&gt; </w:t>
            </w:r>
            <w:r w:rsidRPr="003A1233">
              <w:rPr>
                <w:rFonts w:ascii="DDT Book" w:hAnsi="DDT Book"/>
                <w:b/>
                <w:bCs/>
                <w:sz w:val="20"/>
                <w:szCs w:val="20"/>
              </w:rPr>
              <w:t>v. 3</w:t>
            </w:r>
          </w:p>
        </w:tc>
        <w:tc>
          <w:tcPr>
            <w:tcW w:w="992" w:type="dxa"/>
            <w:tcBorders>
              <w:top w:val="single" w:sz="4" w:space="0" w:color="000080"/>
              <w:left w:val="single" w:sz="4" w:space="0" w:color="000000"/>
              <w:bottom w:val="single" w:sz="4" w:space="0" w:color="000080"/>
              <w:right w:val="nil"/>
            </w:tcBorders>
          </w:tcPr>
          <w:p w14:paraId="39B95F6F" w14:textId="6A98644D" w:rsidR="00C32BFD" w:rsidRPr="003A1233" w:rsidRDefault="00C32BFD" w:rsidP="00C32BFD">
            <w:pPr>
              <w:spacing w:line="360" w:lineRule="auto"/>
              <w:jc w:val="both"/>
              <w:rPr>
                <w:rFonts w:ascii="ψαλιβρι" w:hAnsi="ψαλιβρι" w:hint="eastAsia"/>
                <w:sz w:val="22"/>
                <w:szCs w:val="22"/>
              </w:rPr>
            </w:pPr>
            <w:r w:rsidRPr="003A1233">
              <w:rPr>
                <w:rFonts w:ascii="DDT Book" w:hAnsi="DDT Book"/>
                <w:sz w:val="20"/>
                <w:szCs w:val="20"/>
              </w:rPr>
              <w:t>Overall</w:t>
            </w:r>
          </w:p>
        </w:tc>
        <w:tc>
          <w:tcPr>
            <w:tcW w:w="3685" w:type="dxa"/>
            <w:tcBorders>
              <w:top w:val="single" w:sz="4" w:space="0" w:color="000080"/>
              <w:left w:val="single" w:sz="4" w:space="0" w:color="000000"/>
              <w:bottom w:val="single" w:sz="4" w:space="0" w:color="000080"/>
              <w:right w:val="nil"/>
            </w:tcBorders>
          </w:tcPr>
          <w:p w14:paraId="178EFDAB" w14:textId="653989EF" w:rsidR="00C32BFD" w:rsidRPr="003A1233" w:rsidRDefault="00C32BFD" w:rsidP="00C32BFD">
            <w:pPr>
              <w:spacing w:line="276" w:lineRule="auto"/>
              <w:rPr>
                <w:rFonts w:ascii="ψαλιβρι" w:hAnsi="ψαλιβρι" w:hint="eastAsia"/>
                <w:sz w:val="22"/>
                <w:szCs w:val="22"/>
              </w:rPr>
            </w:pPr>
            <w:r w:rsidRPr="003A1233">
              <w:rPr>
                <w:rFonts w:ascii="DDT Book" w:hAnsi="DDT Book"/>
                <w:sz w:val="20"/>
                <w:szCs w:val="20"/>
              </w:rPr>
              <w:t>Name change from VALIDX Group to VALIDX &amp; ICDQ Partners</w:t>
            </w:r>
          </w:p>
        </w:tc>
        <w:tc>
          <w:tcPr>
            <w:tcW w:w="1985" w:type="dxa"/>
            <w:tcBorders>
              <w:top w:val="single" w:sz="4" w:space="0" w:color="000080"/>
              <w:left w:val="single" w:sz="4" w:space="0" w:color="000000"/>
              <w:bottom w:val="single" w:sz="4" w:space="0" w:color="000080"/>
              <w:right w:val="nil"/>
            </w:tcBorders>
            <w:vAlign w:val="center"/>
          </w:tcPr>
          <w:p w14:paraId="6B6D840B" w14:textId="77777777" w:rsidR="00C32BFD" w:rsidRPr="003A1233" w:rsidRDefault="00C32BFD" w:rsidP="00C32BFD">
            <w:pPr>
              <w:spacing w:line="276" w:lineRule="auto"/>
              <w:rPr>
                <w:rFonts w:ascii="DDT Book" w:hAnsi="DDT Book"/>
                <w:sz w:val="20"/>
                <w:szCs w:val="20"/>
              </w:rPr>
            </w:pPr>
            <w:r w:rsidRPr="003A1233">
              <w:rPr>
                <w:rFonts w:ascii="DDT Book" w:hAnsi="DDT Book"/>
                <w:sz w:val="20"/>
                <w:szCs w:val="20"/>
              </w:rPr>
              <w:t xml:space="preserve">Athanasios Arvanitis </w:t>
            </w:r>
          </w:p>
          <w:p w14:paraId="63A64284" w14:textId="636F7B40" w:rsidR="00C32BFD" w:rsidRPr="003A1233" w:rsidRDefault="00C32BFD" w:rsidP="00C32BFD">
            <w:pPr>
              <w:spacing w:line="276" w:lineRule="auto"/>
              <w:rPr>
                <w:rFonts w:ascii="ψαλιβρι" w:hAnsi="ψαλιβρι" w:hint="eastAsia"/>
                <w:sz w:val="22"/>
                <w:szCs w:val="22"/>
              </w:rPr>
            </w:pPr>
            <w:r w:rsidRPr="003A1233">
              <w:rPr>
                <w:rFonts w:ascii="DDT Book" w:hAnsi="DDT Book"/>
                <w:sz w:val="20"/>
                <w:szCs w:val="20"/>
              </w:rPr>
              <w:t>(Quality Manager)</w:t>
            </w:r>
          </w:p>
        </w:tc>
        <w:tc>
          <w:tcPr>
            <w:tcW w:w="2126" w:type="dxa"/>
            <w:tcBorders>
              <w:top w:val="single" w:sz="4" w:space="0" w:color="000080"/>
              <w:left w:val="single" w:sz="4" w:space="0" w:color="000000"/>
              <w:bottom w:val="single" w:sz="4" w:space="0" w:color="000080"/>
              <w:right w:val="single" w:sz="4" w:space="0" w:color="000000"/>
            </w:tcBorders>
            <w:vAlign w:val="center"/>
          </w:tcPr>
          <w:p w14:paraId="46D83DC3" w14:textId="77777777" w:rsidR="00C32BFD" w:rsidRPr="003A1233" w:rsidRDefault="00C32BFD" w:rsidP="00C32BFD">
            <w:pPr>
              <w:spacing w:line="276" w:lineRule="auto"/>
              <w:jc w:val="both"/>
              <w:rPr>
                <w:rFonts w:ascii="DDT Book" w:hAnsi="DDT Book"/>
                <w:sz w:val="20"/>
                <w:szCs w:val="20"/>
              </w:rPr>
            </w:pPr>
            <w:r w:rsidRPr="003A1233">
              <w:rPr>
                <w:rFonts w:ascii="DDT Book" w:hAnsi="DDT Book"/>
                <w:sz w:val="20"/>
                <w:szCs w:val="20"/>
              </w:rPr>
              <w:t>Angelos Koulouridis</w:t>
            </w:r>
          </w:p>
          <w:p w14:paraId="70C630D0" w14:textId="77777777" w:rsidR="00C32BFD" w:rsidRPr="003A1233" w:rsidRDefault="00C32BFD" w:rsidP="00C32BFD">
            <w:pPr>
              <w:spacing w:line="276" w:lineRule="auto"/>
              <w:jc w:val="both"/>
              <w:rPr>
                <w:rFonts w:ascii="DDT Book" w:hAnsi="DDT Book"/>
                <w:sz w:val="20"/>
                <w:szCs w:val="20"/>
              </w:rPr>
            </w:pPr>
            <w:r w:rsidRPr="003A1233">
              <w:rPr>
                <w:rFonts w:ascii="DDT Book" w:hAnsi="DDT Book"/>
                <w:sz w:val="20"/>
                <w:szCs w:val="20"/>
              </w:rPr>
              <w:t>Stergios Zarifidis</w:t>
            </w:r>
          </w:p>
          <w:p w14:paraId="7C52A109" w14:textId="7E4B86A2" w:rsidR="00C32BFD" w:rsidRPr="003A1233" w:rsidRDefault="00C32BFD" w:rsidP="00C32BFD">
            <w:pPr>
              <w:spacing w:line="276" w:lineRule="auto"/>
              <w:jc w:val="both"/>
              <w:rPr>
                <w:rFonts w:ascii="ψαλιβρι" w:hAnsi="ψαλιβρι" w:hint="eastAsia"/>
                <w:sz w:val="22"/>
                <w:szCs w:val="22"/>
                <w:lang w:val="it-IT"/>
              </w:rPr>
            </w:pPr>
            <w:r w:rsidRPr="003A1233">
              <w:rPr>
                <w:rFonts w:ascii="DDT Book" w:hAnsi="DDT Book"/>
                <w:sz w:val="20"/>
                <w:szCs w:val="20"/>
              </w:rPr>
              <w:t>Sara Pellegrino</w:t>
            </w:r>
          </w:p>
        </w:tc>
        <w:tc>
          <w:tcPr>
            <w:tcW w:w="1276" w:type="dxa"/>
            <w:tcBorders>
              <w:top w:val="single" w:sz="4" w:space="0" w:color="000080"/>
              <w:left w:val="single" w:sz="4" w:space="0" w:color="000000"/>
              <w:bottom w:val="single" w:sz="4" w:space="0" w:color="000080"/>
              <w:right w:val="single" w:sz="4" w:space="0" w:color="000080"/>
            </w:tcBorders>
            <w:vAlign w:val="center"/>
          </w:tcPr>
          <w:p w14:paraId="08F8C35E" w14:textId="3278E46C" w:rsidR="00C32BFD" w:rsidRPr="003A1233" w:rsidRDefault="00C32BFD" w:rsidP="00C32BFD">
            <w:pPr>
              <w:spacing w:line="360" w:lineRule="auto"/>
              <w:jc w:val="center"/>
              <w:rPr>
                <w:rFonts w:ascii="ψαλιβρι" w:hAnsi="ψαλιβρι" w:hint="eastAsia"/>
                <w:sz w:val="22"/>
                <w:szCs w:val="22"/>
              </w:rPr>
            </w:pPr>
            <w:r w:rsidRPr="003A1233">
              <w:rPr>
                <w:rFonts w:ascii="DDT Book" w:hAnsi="DDT Book"/>
                <w:sz w:val="18"/>
                <w:szCs w:val="18"/>
              </w:rPr>
              <w:t>25/06/2025</w:t>
            </w:r>
          </w:p>
        </w:tc>
      </w:tr>
    </w:tbl>
    <w:p w14:paraId="1ADDAB98" w14:textId="66FB8BC2" w:rsidR="00B40CA0" w:rsidRPr="00B40CA0" w:rsidRDefault="00B40CA0" w:rsidP="00B40CA0">
      <w:pPr>
        <w:tabs>
          <w:tab w:val="left" w:pos="6980"/>
        </w:tabs>
        <w:rPr>
          <w:rFonts w:hint="eastAsia"/>
        </w:rPr>
      </w:pPr>
    </w:p>
    <w:sectPr w:rsidR="00B40CA0" w:rsidRPr="00B40CA0" w:rsidSect="00CA176C">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77288" w14:textId="77777777" w:rsidR="00FF5A0B" w:rsidRDefault="00FF5A0B">
      <w:pPr>
        <w:rPr>
          <w:rFonts w:hint="eastAsia"/>
        </w:rPr>
      </w:pPr>
      <w:r>
        <w:separator/>
      </w:r>
    </w:p>
  </w:endnote>
  <w:endnote w:type="continuationSeparator" w:id="0">
    <w:p w14:paraId="60A35ADF" w14:textId="77777777" w:rsidR="00FF5A0B" w:rsidRDefault="00FF5A0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ψαλιβρι">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DT Book">
    <w:altName w:val="Arial Nova Cond"/>
    <w:panose1 w:val="020B0506040000020004"/>
    <w:charset w:val="00"/>
    <w:family w:val="swiss"/>
    <w:pitch w:val="variable"/>
    <w:sig w:usb0="A00002EF" w:usb1="5000201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2FB66" w14:textId="77777777" w:rsidR="00FF5A0B" w:rsidRDefault="00FF5A0B">
      <w:pPr>
        <w:rPr>
          <w:rFonts w:hint="eastAsia"/>
        </w:rPr>
      </w:pPr>
      <w:r>
        <w:rPr>
          <w:color w:val="000000"/>
        </w:rPr>
        <w:separator/>
      </w:r>
    </w:p>
  </w:footnote>
  <w:footnote w:type="continuationSeparator" w:id="0">
    <w:p w14:paraId="69041696" w14:textId="77777777" w:rsidR="00FF5A0B" w:rsidRDefault="00FF5A0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8"/>
      <w:tblW w:w="11052" w:type="dxa"/>
      <w:tblInd w:w="-714" w:type="dxa"/>
      <w:tblLook w:val="04A0" w:firstRow="1" w:lastRow="0" w:firstColumn="1" w:lastColumn="0" w:noHBand="0" w:noVBand="1"/>
    </w:tblPr>
    <w:tblGrid>
      <w:gridCol w:w="3156"/>
      <w:gridCol w:w="3909"/>
      <w:gridCol w:w="1513"/>
      <w:gridCol w:w="779"/>
      <w:gridCol w:w="587"/>
      <w:gridCol w:w="1108"/>
    </w:tblGrid>
    <w:tr w:rsidR="002222D2" w:rsidRPr="001B7730" w14:paraId="2123A26B" w14:textId="77777777" w:rsidTr="002222D2">
      <w:trPr>
        <w:trHeight w:val="137"/>
      </w:trPr>
      <w:tc>
        <w:tcPr>
          <w:tcW w:w="3156" w:type="dxa"/>
          <w:vMerge w:val="restart"/>
          <w:vAlign w:val="center"/>
        </w:tcPr>
        <w:p w14:paraId="6D8F1838" w14:textId="77777777" w:rsidR="002222D2" w:rsidRPr="001B7730" w:rsidRDefault="002222D2" w:rsidP="002222D2">
          <w:pPr>
            <w:pStyle w:val="a6"/>
            <w:jc w:val="center"/>
            <w:rPr>
              <w:sz w:val="18"/>
              <w:szCs w:val="18"/>
            </w:rPr>
          </w:pPr>
          <w:bookmarkStart w:id="0" w:name="_Hlk198215961"/>
          <w:bookmarkStart w:id="1" w:name="_Hlk198208038"/>
          <w:r>
            <w:rPr>
              <w:noProof/>
              <w:lang w:val="it-IT" w:eastAsia="it-IT"/>
            </w:rPr>
            <w:drawing>
              <wp:inline distT="0" distB="0" distL="0" distR="0" wp14:anchorId="10C0A211" wp14:editId="49161E72">
                <wp:extent cx="1864017" cy="614477"/>
                <wp:effectExtent l="0" t="0" r="3175" b="0"/>
                <wp:docPr id="278937097" name="Picture 2"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65117" name="Picture 2"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051" cy="629322"/>
                        </a:xfrm>
                        <a:prstGeom prst="rect">
                          <a:avLst/>
                        </a:prstGeom>
                        <a:noFill/>
                        <a:ln>
                          <a:noFill/>
                        </a:ln>
                      </pic:spPr>
                    </pic:pic>
                  </a:graphicData>
                </a:graphic>
              </wp:inline>
            </w:drawing>
          </w:r>
        </w:p>
      </w:tc>
      <w:tc>
        <w:tcPr>
          <w:tcW w:w="3909" w:type="dxa"/>
          <w:vAlign w:val="center"/>
        </w:tcPr>
        <w:p w14:paraId="25A116B4" w14:textId="107E165C" w:rsidR="002222D2" w:rsidRPr="00E6330A" w:rsidRDefault="007F60F3" w:rsidP="002222D2">
          <w:pPr>
            <w:pStyle w:val="a6"/>
            <w:jc w:val="center"/>
            <w:rPr>
              <w:b/>
              <w:bCs/>
              <w:sz w:val="18"/>
              <w:szCs w:val="18"/>
            </w:rPr>
          </w:pPr>
          <w:r w:rsidRPr="003A1233">
            <w:rPr>
              <w:b/>
              <w:bCs/>
              <w:sz w:val="20"/>
              <w:szCs w:val="20"/>
            </w:rPr>
            <w:t>VALIDX &amp; ICDQ Partners</w:t>
          </w:r>
          <w:r w:rsidR="002222D2">
            <w:rPr>
              <w:b/>
              <w:bCs/>
              <w:sz w:val="20"/>
              <w:szCs w:val="20"/>
            </w:rPr>
            <w:t xml:space="preserve"> Management System</w:t>
          </w:r>
        </w:p>
        <w:p w14:paraId="2FF0C2B2" w14:textId="77777777" w:rsidR="002222D2" w:rsidRPr="001B7730" w:rsidRDefault="002222D2" w:rsidP="002222D2">
          <w:pPr>
            <w:pStyle w:val="a6"/>
            <w:jc w:val="center"/>
            <w:rPr>
              <w:sz w:val="18"/>
              <w:szCs w:val="18"/>
            </w:rPr>
          </w:pPr>
        </w:p>
      </w:tc>
      <w:tc>
        <w:tcPr>
          <w:tcW w:w="1513" w:type="dxa"/>
          <w:shd w:val="clear" w:color="auto" w:fill="F2F2F2" w:themeFill="background1" w:themeFillShade="F2"/>
          <w:vAlign w:val="center"/>
        </w:tcPr>
        <w:p w14:paraId="4269EF32" w14:textId="77777777" w:rsidR="002222D2" w:rsidRPr="001B7730" w:rsidRDefault="002222D2" w:rsidP="002222D2">
          <w:pPr>
            <w:pStyle w:val="a6"/>
            <w:jc w:val="right"/>
            <w:rPr>
              <w:sz w:val="18"/>
              <w:szCs w:val="18"/>
            </w:rPr>
          </w:pPr>
          <w:r>
            <w:rPr>
              <w:sz w:val="18"/>
              <w:szCs w:val="18"/>
            </w:rPr>
            <w:t>Document Type:</w:t>
          </w:r>
        </w:p>
      </w:tc>
      <w:tc>
        <w:tcPr>
          <w:tcW w:w="2474" w:type="dxa"/>
          <w:gridSpan w:val="3"/>
          <w:vAlign w:val="center"/>
        </w:tcPr>
        <w:p w14:paraId="750A2468" w14:textId="77777777" w:rsidR="002222D2" w:rsidRPr="001B7730" w:rsidRDefault="002222D2" w:rsidP="002222D2">
          <w:pPr>
            <w:pStyle w:val="a6"/>
            <w:rPr>
              <w:sz w:val="18"/>
              <w:szCs w:val="18"/>
            </w:rPr>
          </w:pPr>
          <w:r w:rsidRPr="006D2EE2">
            <w:rPr>
              <w:sz w:val="18"/>
              <w:szCs w:val="18"/>
            </w:rPr>
            <w:t>Regulation</w:t>
          </w:r>
        </w:p>
      </w:tc>
    </w:tr>
    <w:bookmarkEnd w:id="0"/>
    <w:tr w:rsidR="002222D2" w:rsidRPr="001B7730" w14:paraId="78D3225C" w14:textId="77777777" w:rsidTr="002222D2">
      <w:trPr>
        <w:trHeight w:val="137"/>
      </w:trPr>
      <w:tc>
        <w:tcPr>
          <w:tcW w:w="3156" w:type="dxa"/>
          <w:vMerge/>
          <w:vAlign w:val="center"/>
        </w:tcPr>
        <w:p w14:paraId="6F1AA76E" w14:textId="77777777" w:rsidR="002222D2" w:rsidRPr="001B7730" w:rsidRDefault="002222D2" w:rsidP="002222D2">
          <w:pPr>
            <w:pStyle w:val="a6"/>
            <w:jc w:val="center"/>
            <w:rPr>
              <w:sz w:val="18"/>
              <w:szCs w:val="18"/>
            </w:rPr>
          </w:pPr>
        </w:p>
      </w:tc>
      <w:tc>
        <w:tcPr>
          <w:tcW w:w="3909" w:type="dxa"/>
          <w:shd w:val="clear" w:color="auto" w:fill="F2F2F2" w:themeFill="background1" w:themeFillShade="F2"/>
          <w:vAlign w:val="center"/>
        </w:tcPr>
        <w:p w14:paraId="6C960884" w14:textId="77777777" w:rsidR="002222D2" w:rsidRPr="001B7730" w:rsidRDefault="002222D2" w:rsidP="002222D2">
          <w:pPr>
            <w:pStyle w:val="a6"/>
            <w:jc w:val="center"/>
            <w:rPr>
              <w:sz w:val="18"/>
              <w:szCs w:val="18"/>
            </w:rPr>
          </w:pPr>
          <w:r>
            <w:rPr>
              <w:sz w:val="18"/>
              <w:szCs w:val="18"/>
            </w:rPr>
            <w:t>Document Name</w:t>
          </w:r>
        </w:p>
      </w:tc>
      <w:tc>
        <w:tcPr>
          <w:tcW w:w="1513" w:type="dxa"/>
          <w:shd w:val="clear" w:color="auto" w:fill="F2F2F2" w:themeFill="background1" w:themeFillShade="F2"/>
          <w:vAlign w:val="center"/>
        </w:tcPr>
        <w:p w14:paraId="52D19CF9" w14:textId="77777777" w:rsidR="002222D2" w:rsidRPr="001B7730" w:rsidRDefault="002222D2" w:rsidP="002222D2">
          <w:pPr>
            <w:pStyle w:val="a6"/>
            <w:jc w:val="right"/>
            <w:rPr>
              <w:sz w:val="18"/>
              <w:szCs w:val="18"/>
            </w:rPr>
          </w:pPr>
          <w:r w:rsidRPr="001B7730">
            <w:rPr>
              <w:sz w:val="18"/>
              <w:szCs w:val="18"/>
            </w:rPr>
            <w:t>Implementation</w:t>
          </w:r>
          <w:r>
            <w:rPr>
              <w:sz w:val="18"/>
              <w:szCs w:val="18"/>
            </w:rPr>
            <w:t>:</w:t>
          </w:r>
        </w:p>
      </w:tc>
      <w:tc>
        <w:tcPr>
          <w:tcW w:w="2474" w:type="dxa"/>
          <w:gridSpan w:val="3"/>
          <w:vAlign w:val="center"/>
        </w:tcPr>
        <w:p w14:paraId="1AF66025" w14:textId="323616AF" w:rsidR="002222D2" w:rsidRPr="00E21260" w:rsidRDefault="003A1233" w:rsidP="002222D2">
          <w:pPr>
            <w:pStyle w:val="a6"/>
            <w:rPr>
              <w:sz w:val="18"/>
              <w:szCs w:val="18"/>
              <w:lang w:val="el-GR"/>
            </w:rPr>
          </w:pPr>
          <w:sdt>
            <w:sdtPr>
              <w:rPr>
                <w:sz w:val="18"/>
                <w:szCs w:val="18"/>
              </w:rPr>
              <w:id w:val="-345329297"/>
              <w14:checkbox>
                <w14:checked w14:val="1"/>
                <w14:checkedState w14:val="2612" w14:font="MS Gothic"/>
                <w14:uncheckedState w14:val="2610" w14:font="MS Gothic"/>
              </w14:checkbox>
            </w:sdtPr>
            <w:sdtEndPr/>
            <w:sdtContent>
              <w:r w:rsidR="002222D2">
                <w:rPr>
                  <w:rFonts w:ascii="MS Gothic" w:eastAsia="MS Gothic" w:hAnsi="MS Gothic" w:hint="eastAsia"/>
                  <w:sz w:val="18"/>
                  <w:szCs w:val="18"/>
                </w:rPr>
                <w:t>☒</w:t>
              </w:r>
            </w:sdtContent>
          </w:sdt>
          <w:r w:rsidR="002222D2" w:rsidRPr="00F2208F">
            <w:rPr>
              <w:rFonts w:ascii="Arial" w:eastAsia="Times New Roman" w:hAnsi="Arial" w:cs="Arial"/>
              <w:sz w:val="16"/>
              <w:szCs w:val="16"/>
              <w:lang w:eastAsia="el-GR"/>
            </w:rPr>
            <w:t xml:space="preserve"> VALIDX | ICDQ Partners (IT)</w:t>
          </w:r>
        </w:p>
      </w:tc>
    </w:tr>
    <w:tr w:rsidR="002222D2" w:rsidRPr="001B7730" w14:paraId="749E2E42" w14:textId="77777777" w:rsidTr="002222D2">
      <w:trPr>
        <w:trHeight w:val="137"/>
      </w:trPr>
      <w:tc>
        <w:tcPr>
          <w:tcW w:w="3156" w:type="dxa"/>
          <w:vMerge/>
          <w:vAlign w:val="center"/>
        </w:tcPr>
        <w:p w14:paraId="56DA2918" w14:textId="77777777" w:rsidR="002222D2" w:rsidRPr="001B7730" w:rsidRDefault="002222D2" w:rsidP="002222D2">
          <w:pPr>
            <w:pStyle w:val="a6"/>
            <w:jc w:val="center"/>
            <w:rPr>
              <w:sz w:val="18"/>
              <w:szCs w:val="18"/>
            </w:rPr>
          </w:pPr>
        </w:p>
      </w:tc>
      <w:tc>
        <w:tcPr>
          <w:tcW w:w="3909" w:type="dxa"/>
          <w:vMerge w:val="restart"/>
          <w:shd w:val="clear" w:color="auto" w:fill="0E2841" w:themeFill="text2"/>
          <w:vAlign w:val="center"/>
        </w:tcPr>
        <w:p w14:paraId="0A67595C" w14:textId="0308582F" w:rsidR="002222D2" w:rsidRPr="002222D2" w:rsidRDefault="002222D2" w:rsidP="002222D2">
          <w:pPr>
            <w:pStyle w:val="a6"/>
            <w:jc w:val="center"/>
            <w:rPr>
              <w:b/>
              <w:bCs/>
              <w:sz w:val="18"/>
              <w:szCs w:val="18"/>
            </w:rPr>
          </w:pPr>
          <w:r w:rsidRPr="002222D2">
            <w:rPr>
              <w:b/>
              <w:bCs/>
              <w:color w:val="FFFFFF" w:themeColor="background1"/>
              <w:sz w:val="18"/>
              <w:szCs w:val="18"/>
            </w:rPr>
            <w:t>LOGO USE REGULATION - ISO 17020 &amp; SERMI</w:t>
          </w:r>
        </w:p>
      </w:tc>
      <w:tc>
        <w:tcPr>
          <w:tcW w:w="1513" w:type="dxa"/>
          <w:shd w:val="clear" w:color="auto" w:fill="F2F2F2" w:themeFill="background1" w:themeFillShade="F2"/>
          <w:vAlign w:val="center"/>
        </w:tcPr>
        <w:p w14:paraId="39DBD785" w14:textId="77777777" w:rsidR="002222D2" w:rsidRPr="001B7730" w:rsidRDefault="002222D2" w:rsidP="002222D2">
          <w:pPr>
            <w:pStyle w:val="a6"/>
            <w:jc w:val="right"/>
            <w:rPr>
              <w:sz w:val="18"/>
              <w:szCs w:val="18"/>
            </w:rPr>
          </w:pPr>
          <w:r w:rsidRPr="001B7730">
            <w:rPr>
              <w:sz w:val="18"/>
              <w:szCs w:val="18"/>
            </w:rPr>
            <w:t>VXMS Ref No</w:t>
          </w:r>
          <w:r>
            <w:rPr>
              <w:sz w:val="18"/>
              <w:szCs w:val="18"/>
            </w:rPr>
            <w:t>:</w:t>
          </w:r>
        </w:p>
      </w:tc>
      <w:tc>
        <w:tcPr>
          <w:tcW w:w="2474" w:type="dxa"/>
          <w:gridSpan w:val="3"/>
          <w:vAlign w:val="center"/>
        </w:tcPr>
        <w:p w14:paraId="41E7CC87" w14:textId="107D429E" w:rsidR="002222D2" w:rsidRDefault="002222D2" w:rsidP="002222D2">
          <w:pPr>
            <w:pStyle w:val="a6"/>
            <w:rPr>
              <w:sz w:val="18"/>
              <w:szCs w:val="18"/>
            </w:rPr>
          </w:pPr>
          <w:r>
            <w:rPr>
              <w:sz w:val="18"/>
              <w:szCs w:val="18"/>
            </w:rPr>
            <w:t>GOR.05</w:t>
          </w:r>
        </w:p>
      </w:tc>
    </w:tr>
    <w:tr w:rsidR="002222D2" w:rsidRPr="001B7730" w14:paraId="6E2EB41D" w14:textId="77777777" w:rsidTr="002222D2">
      <w:trPr>
        <w:trHeight w:val="137"/>
      </w:trPr>
      <w:tc>
        <w:tcPr>
          <w:tcW w:w="3156" w:type="dxa"/>
          <w:vMerge/>
          <w:vAlign w:val="center"/>
        </w:tcPr>
        <w:p w14:paraId="7361844C" w14:textId="77777777" w:rsidR="002222D2" w:rsidRPr="001B7730" w:rsidRDefault="002222D2" w:rsidP="002222D2">
          <w:pPr>
            <w:pStyle w:val="a6"/>
            <w:jc w:val="center"/>
            <w:rPr>
              <w:sz w:val="18"/>
              <w:szCs w:val="18"/>
            </w:rPr>
          </w:pPr>
        </w:p>
      </w:tc>
      <w:tc>
        <w:tcPr>
          <w:tcW w:w="3909" w:type="dxa"/>
          <w:vMerge/>
          <w:shd w:val="clear" w:color="auto" w:fill="0E2841" w:themeFill="text2"/>
          <w:vAlign w:val="center"/>
        </w:tcPr>
        <w:p w14:paraId="7F1D4E38" w14:textId="77777777" w:rsidR="002222D2" w:rsidRPr="001B7730" w:rsidRDefault="002222D2" w:rsidP="002222D2">
          <w:pPr>
            <w:pStyle w:val="a6"/>
            <w:jc w:val="center"/>
            <w:rPr>
              <w:sz w:val="18"/>
              <w:szCs w:val="18"/>
            </w:rPr>
          </w:pPr>
        </w:p>
      </w:tc>
      <w:tc>
        <w:tcPr>
          <w:tcW w:w="1513" w:type="dxa"/>
          <w:shd w:val="clear" w:color="auto" w:fill="F2F2F2" w:themeFill="background1" w:themeFillShade="F2"/>
          <w:vAlign w:val="center"/>
        </w:tcPr>
        <w:p w14:paraId="224EA8DD" w14:textId="77777777" w:rsidR="002222D2" w:rsidRPr="001B7730" w:rsidRDefault="002222D2" w:rsidP="002222D2">
          <w:pPr>
            <w:pStyle w:val="a6"/>
            <w:jc w:val="right"/>
            <w:rPr>
              <w:sz w:val="18"/>
              <w:szCs w:val="18"/>
            </w:rPr>
          </w:pPr>
          <w:r>
            <w:rPr>
              <w:sz w:val="18"/>
              <w:szCs w:val="18"/>
            </w:rPr>
            <w:t>Version:</w:t>
          </w:r>
        </w:p>
      </w:tc>
      <w:tc>
        <w:tcPr>
          <w:tcW w:w="779" w:type="dxa"/>
          <w:vAlign w:val="center"/>
        </w:tcPr>
        <w:p w14:paraId="3EB0FD21" w14:textId="15C7B1BD" w:rsidR="002222D2" w:rsidRPr="003A1233" w:rsidRDefault="002A6321" w:rsidP="002222D2">
          <w:pPr>
            <w:pStyle w:val="a6"/>
            <w:jc w:val="center"/>
            <w:rPr>
              <w:sz w:val="18"/>
              <w:szCs w:val="18"/>
            </w:rPr>
          </w:pPr>
          <w:r w:rsidRPr="003A1233">
            <w:rPr>
              <w:sz w:val="18"/>
              <w:szCs w:val="18"/>
            </w:rPr>
            <w:t>3</w:t>
          </w:r>
        </w:p>
      </w:tc>
      <w:tc>
        <w:tcPr>
          <w:tcW w:w="587" w:type="dxa"/>
          <w:shd w:val="clear" w:color="auto" w:fill="F2F2F2" w:themeFill="background1" w:themeFillShade="F2"/>
          <w:vAlign w:val="center"/>
        </w:tcPr>
        <w:p w14:paraId="26EBA279" w14:textId="77777777" w:rsidR="002222D2" w:rsidRPr="003A1233" w:rsidRDefault="002222D2" w:rsidP="002222D2">
          <w:pPr>
            <w:pStyle w:val="a6"/>
            <w:rPr>
              <w:color w:val="7F7F7F" w:themeColor="text1" w:themeTint="80"/>
              <w:sz w:val="18"/>
              <w:szCs w:val="18"/>
            </w:rPr>
          </w:pPr>
          <w:r w:rsidRPr="003A1233">
            <w:rPr>
              <w:sz w:val="18"/>
              <w:szCs w:val="18"/>
            </w:rPr>
            <w:t>Date</w:t>
          </w:r>
        </w:p>
      </w:tc>
      <w:tc>
        <w:tcPr>
          <w:tcW w:w="1108" w:type="dxa"/>
          <w:vAlign w:val="center"/>
        </w:tcPr>
        <w:p w14:paraId="38C4BA60" w14:textId="06EDADCA" w:rsidR="002222D2" w:rsidRPr="003A1233" w:rsidRDefault="002A6321" w:rsidP="002222D2">
          <w:pPr>
            <w:pStyle w:val="a6"/>
            <w:rPr>
              <w:sz w:val="18"/>
              <w:szCs w:val="18"/>
            </w:rPr>
          </w:pPr>
          <w:r w:rsidRPr="003A1233">
            <w:rPr>
              <w:sz w:val="18"/>
              <w:szCs w:val="18"/>
            </w:rPr>
            <w:t>25/06/2025</w:t>
          </w:r>
        </w:p>
      </w:tc>
    </w:tr>
    <w:bookmarkEnd w:id="1"/>
  </w:tbl>
  <w:p w14:paraId="0B19E179" w14:textId="77777777" w:rsidR="002222D2" w:rsidRDefault="002222D2">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84111"/>
    <w:multiLevelType w:val="multilevel"/>
    <w:tmpl w:val="CB38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B27CE"/>
    <w:multiLevelType w:val="multilevel"/>
    <w:tmpl w:val="9BC6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0751C"/>
    <w:multiLevelType w:val="multilevel"/>
    <w:tmpl w:val="0E30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A5FB2"/>
    <w:multiLevelType w:val="multilevel"/>
    <w:tmpl w:val="19FC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3E29C6"/>
    <w:multiLevelType w:val="multilevel"/>
    <w:tmpl w:val="76A4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A41D0B"/>
    <w:multiLevelType w:val="multilevel"/>
    <w:tmpl w:val="EE52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927D2"/>
    <w:multiLevelType w:val="multilevel"/>
    <w:tmpl w:val="9746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EF3D14"/>
    <w:multiLevelType w:val="multilevel"/>
    <w:tmpl w:val="DD8A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9C4BBE"/>
    <w:multiLevelType w:val="multilevel"/>
    <w:tmpl w:val="E438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EF6C46"/>
    <w:multiLevelType w:val="multilevel"/>
    <w:tmpl w:val="F984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847906">
    <w:abstractNumId w:val="2"/>
  </w:num>
  <w:num w:numId="2" w16cid:durableId="1247810483">
    <w:abstractNumId w:val="7"/>
  </w:num>
  <w:num w:numId="3" w16cid:durableId="1393118543">
    <w:abstractNumId w:val="5"/>
  </w:num>
  <w:num w:numId="4" w16cid:durableId="2049446377">
    <w:abstractNumId w:val="4"/>
  </w:num>
  <w:num w:numId="5" w16cid:durableId="7098716">
    <w:abstractNumId w:val="1"/>
  </w:num>
  <w:num w:numId="6" w16cid:durableId="1552838120">
    <w:abstractNumId w:val="6"/>
  </w:num>
  <w:num w:numId="7" w16cid:durableId="1225725069">
    <w:abstractNumId w:val="0"/>
  </w:num>
  <w:num w:numId="8" w16cid:durableId="234052326">
    <w:abstractNumId w:val="8"/>
  </w:num>
  <w:num w:numId="9" w16cid:durableId="78916940">
    <w:abstractNumId w:val="9"/>
  </w:num>
  <w:num w:numId="10" w16cid:durableId="1952739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E4A"/>
    <w:rsid w:val="00040EDA"/>
    <w:rsid w:val="00043FE7"/>
    <w:rsid w:val="000E1B52"/>
    <w:rsid w:val="000F301B"/>
    <w:rsid w:val="00132462"/>
    <w:rsid w:val="0013582E"/>
    <w:rsid w:val="00162DDA"/>
    <w:rsid w:val="0021115F"/>
    <w:rsid w:val="002222D2"/>
    <w:rsid w:val="002A1E4A"/>
    <w:rsid w:val="002A6321"/>
    <w:rsid w:val="002D034F"/>
    <w:rsid w:val="003A1233"/>
    <w:rsid w:val="004061A2"/>
    <w:rsid w:val="00407901"/>
    <w:rsid w:val="00471276"/>
    <w:rsid w:val="004B39B5"/>
    <w:rsid w:val="00732CDC"/>
    <w:rsid w:val="007D10CA"/>
    <w:rsid w:val="007F60F3"/>
    <w:rsid w:val="008201AA"/>
    <w:rsid w:val="00820754"/>
    <w:rsid w:val="00821877"/>
    <w:rsid w:val="00853D41"/>
    <w:rsid w:val="008D638B"/>
    <w:rsid w:val="00A61262"/>
    <w:rsid w:val="00AC1624"/>
    <w:rsid w:val="00B40CA0"/>
    <w:rsid w:val="00B92816"/>
    <w:rsid w:val="00BB4641"/>
    <w:rsid w:val="00C32BFD"/>
    <w:rsid w:val="00CA176C"/>
    <w:rsid w:val="00D44595"/>
    <w:rsid w:val="00D961F0"/>
    <w:rsid w:val="00DB7A18"/>
    <w:rsid w:val="00DD7975"/>
    <w:rsid w:val="00FD68A3"/>
    <w:rsid w:val="00FF5A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F579"/>
  <w15:docId w15:val="{22F64D54-6AEE-428D-A4F8-DEA88283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styleId="a5">
    <w:name w:val="Placeholder Text"/>
    <w:basedOn w:val="a0"/>
    <w:uiPriority w:val="99"/>
    <w:semiHidden/>
    <w:rsid w:val="004B39B5"/>
    <w:rPr>
      <w:color w:val="666666"/>
    </w:rPr>
  </w:style>
  <w:style w:type="paragraph" w:styleId="Web">
    <w:name w:val="Normal (Web)"/>
    <w:basedOn w:val="a"/>
    <w:uiPriority w:val="99"/>
    <w:semiHidden/>
    <w:unhideWhenUsed/>
    <w:rsid w:val="00AC1624"/>
    <w:rPr>
      <w:rFonts w:ascii="Times New Roman" w:hAnsi="Times New Roman"/>
      <w:szCs w:val="21"/>
    </w:rPr>
  </w:style>
  <w:style w:type="paragraph" w:styleId="a6">
    <w:name w:val="header"/>
    <w:basedOn w:val="a"/>
    <w:link w:val="Char"/>
    <w:uiPriority w:val="99"/>
    <w:unhideWhenUsed/>
    <w:rsid w:val="002222D2"/>
    <w:pPr>
      <w:tabs>
        <w:tab w:val="center" w:pos="4513"/>
        <w:tab w:val="right" w:pos="9026"/>
      </w:tabs>
    </w:pPr>
    <w:rPr>
      <w:szCs w:val="21"/>
    </w:rPr>
  </w:style>
  <w:style w:type="character" w:customStyle="1" w:styleId="Char">
    <w:name w:val="Κεφαλίδα Char"/>
    <w:basedOn w:val="a0"/>
    <w:link w:val="a6"/>
    <w:uiPriority w:val="99"/>
    <w:rsid w:val="002222D2"/>
    <w:rPr>
      <w:szCs w:val="21"/>
    </w:rPr>
  </w:style>
  <w:style w:type="paragraph" w:styleId="a7">
    <w:name w:val="footer"/>
    <w:basedOn w:val="a"/>
    <w:link w:val="Char0"/>
    <w:uiPriority w:val="99"/>
    <w:unhideWhenUsed/>
    <w:rsid w:val="002222D2"/>
    <w:pPr>
      <w:tabs>
        <w:tab w:val="center" w:pos="4513"/>
        <w:tab w:val="right" w:pos="9026"/>
      </w:tabs>
    </w:pPr>
    <w:rPr>
      <w:szCs w:val="21"/>
    </w:rPr>
  </w:style>
  <w:style w:type="character" w:customStyle="1" w:styleId="Char0">
    <w:name w:val="Υποσέλιδο Char"/>
    <w:basedOn w:val="a0"/>
    <w:link w:val="a7"/>
    <w:uiPriority w:val="99"/>
    <w:rsid w:val="002222D2"/>
    <w:rPr>
      <w:szCs w:val="21"/>
    </w:rPr>
  </w:style>
  <w:style w:type="table" w:styleId="a8">
    <w:name w:val="Table Grid"/>
    <w:basedOn w:val="a1"/>
    <w:uiPriority w:val="39"/>
    <w:rsid w:val="002222D2"/>
    <w:pPr>
      <w:suppressAutoHyphens w:val="0"/>
      <w:autoSpaceDN/>
      <w:textAlignment w:val="auto"/>
    </w:pPr>
    <w:rPr>
      <w:rFonts w:asciiTheme="minorHAnsi" w:eastAsiaTheme="minorHAnsi" w:hAnsiTheme="minorHAnsi" w:cstheme="minorBidi"/>
      <w:kern w:val="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7528">
      <w:bodyDiv w:val="1"/>
      <w:marLeft w:val="0"/>
      <w:marRight w:val="0"/>
      <w:marTop w:val="0"/>
      <w:marBottom w:val="0"/>
      <w:divBdr>
        <w:top w:val="none" w:sz="0" w:space="0" w:color="auto"/>
        <w:left w:val="none" w:sz="0" w:space="0" w:color="auto"/>
        <w:bottom w:val="none" w:sz="0" w:space="0" w:color="auto"/>
        <w:right w:val="none" w:sz="0" w:space="0" w:color="auto"/>
      </w:divBdr>
    </w:div>
    <w:div w:id="57169779">
      <w:bodyDiv w:val="1"/>
      <w:marLeft w:val="0"/>
      <w:marRight w:val="0"/>
      <w:marTop w:val="0"/>
      <w:marBottom w:val="0"/>
      <w:divBdr>
        <w:top w:val="none" w:sz="0" w:space="0" w:color="auto"/>
        <w:left w:val="none" w:sz="0" w:space="0" w:color="auto"/>
        <w:bottom w:val="none" w:sz="0" w:space="0" w:color="auto"/>
        <w:right w:val="none" w:sz="0" w:space="0" w:color="auto"/>
      </w:divBdr>
    </w:div>
    <w:div w:id="76174437">
      <w:bodyDiv w:val="1"/>
      <w:marLeft w:val="0"/>
      <w:marRight w:val="0"/>
      <w:marTop w:val="0"/>
      <w:marBottom w:val="0"/>
      <w:divBdr>
        <w:top w:val="none" w:sz="0" w:space="0" w:color="auto"/>
        <w:left w:val="none" w:sz="0" w:space="0" w:color="auto"/>
        <w:bottom w:val="none" w:sz="0" w:space="0" w:color="auto"/>
        <w:right w:val="none" w:sz="0" w:space="0" w:color="auto"/>
      </w:divBdr>
    </w:div>
    <w:div w:id="264729513">
      <w:bodyDiv w:val="1"/>
      <w:marLeft w:val="0"/>
      <w:marRight w:val="0"/>
      <w:marTop w:val="0"/>
      <w:marBottom w:val="0"/>
      <w:divBdr>
        <w:top w:val="none" w:sz="0" w:space="0" w:color="auto"/>
        <w:left w:val="none" w:sz="0" w:space="0" w:color="auto"/>
        <w:bottom w:val="none" w:sz="0" w:space="0" w:color="auto"/>
        <w:right w:val="none" w:sz="0" w:space="0" w:color="auto"/>
      </w:divBdr>
      <w:divsChild>
        <w:div w:id="156193011">
          <w:marLeft w:val="0"/>
          <w:marRight w:val="0"/>
          <w:marTop w:val="0"/>
          <w:marBottom w:val="0"/>
          <w:divBdr>
            <w:top w:val="none" w:sz="0" w:space="0" w:color="auto"/>
            <w:left w:val="none" w:sz="0" w:space="0" w:color="auto"/>
            <w:bottom w:val="none" w:sz="0" w:space="0" w:color="auto"/>
            <w:right w:val="none" w:sz="0" w:space="0" w:color="auto"/>
          </w:divBdr>
        </w:div>
        <w:div w:id="649283922">
          <w:marLeft w:val="0"/>
          <w:marRight w:val="0"/>
          <w:marTop w:val="0"/>
          <w:marBottom w:val="0"/>
          <w:divBdr>
            <w:top w:val="none" w:sz="0" w:space="0" w:color="auto"/>
            <w:left w:val="none" w:sz="0" w:space="0" w:color="auto"/>
            <w:bottom w:val="none" w:sz="0" w:space="0" w:color="auto"/>
            <w:right w:val="none" w:sz="0" w:space="0" w:color="auto"/>
          </w:divBdr>
        </w:div>
        <w:div w:id="1635600894">
          <w:marLeft w:val="0"/>
          <w:marRight w:val="0"/>
          <w:marTop w:val="0"/>
          <w:marBottom w:val="0"/>
          <w:divBdr>
            <w:top w:val="none" w:sz="0" w:space="0" w:color="auto"/>
            <w:left w:val="none" w:sz="0" w:space="0" w:color="auto"/>
            <w:bottom w:val="none" w:sz="0" w:space="0" w:color="auto"/>
            <w:right w:val="none" w:sz="0" w:space="0" w:color="auto"/>
          </w:divBdr>
        </w:div>
        <w:div w:id="1698195234">
          <w:marLeft w:val="0"/>
          <w:marRight w:val="0"/>
          <w:marTop w:val="0"/>
          <w:marBottom w:val="0"/>
          <w:divBdr>
            <w:top w:val="none" w:sz="0" w:space="0" w:color="auto"/>
            <w:left w:val="none" w:sz="0" w:space="0" w:color="auto"/>
            <w:bottom w:val="none" w:sz="0" w:space="0" w:color="auto"/>
            <w:right w:val="none" w:sz="0" w:space="0" w:color="auto"/>
          </w:divBdr>
        </w:div>
        <w:div w:id="1018850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821644">
          <w:marLeft w:val="0"/>
          <w:marRight w:val="0"/>
          <w:marTop w:val="0"/>
          <w:marBottom w:val="0"/>
          <w:divBdr>
            <w:top w:val="none" w:sz="0" w:space="0" w:color="auto"/>
            <w:left w:val="none" w:sz="0" w:space="0" w:color="auto"/>
            <w:bottom w:val="none" w:sz="0" w:space="0" w:color="auto"/>
            <w:right w:val="none" w:sz="0" w:space="0" w:color="auto"/>
          </w:divBdr>
        </w:div>
        <w:div w:id="1646161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5454763">
          <w:marLeft w:val="0"/>
          <w:marRight w:val="0"/>
          <w:marTop w:val="0"/>
          <w:marBottom w:val="0"/>
          <w:divBdr>
            <w:top w:val="none" w:sz="0" w:space="0" w:color="auto"/>
            <w:left w:val="none" w:sz="0" w:space="0" w:color="auto"/>
            <w:bottom w:val="none" w:sz="0" w:space="0" w:color="auto"/>
            <w:right w:val="none" w:sz="0" w:space="0" w:color="auto"/>
          </w:divBdr>
        </w:div>
        <w:div w:id="804659040">
          <w:marLeft w:val="0"/>
          <w:marRight w:val="0"/>
          <w:marTop w:val="0"/>
          <w:marBottom w:val="0"/>
          <w:divBdr>
            <w:top w:val="none" w:sz="0" w:space="0" w:color="auto"/>
            <w:left w:val="none" w:sz="0" w:space="0" w:color="auto"/>
            <w:bottom w:val="none" w:sz="0" w:space="0" w:color="auto"/>
            <w:right w:val="none" w:sz="0" w:space="0" w:color="auto"/>
          </w:divBdr>
        </w:div>
        <w:div w:id="586154644">
          <w:marLeft w:val="0"/>
          <w:marRight w:val="0"/>
          <w:marTop w:val="0"/>
          <w:marBottom w:val="0"/>
          <w:divBdr>
            <w:top w:val="none" w:sz="0" w:space="0" w:color="auto"/>
            <w:left w:val="none" w:sz="0" w:space="0" w:color="auto"/>
            <w:bottom w:val="none" w:sz="0" w:space="0" w:color="auto"/>
            <w:right w:val="none" w:sz="0" w:space="0" w:color="auto"/>
          </w:divBdr>
        </w:div>
        <w:div w:id="53893162">
          <w:marLeft w:val="0"/>
          <w:marRight w:val="0"/>
          <w:marTop w:val="0"/>
          <w:marBottom w:val="0"/>
          <w:divBdr>
            <w:top w:val="none" w:sz="0" w:space="0" w:color="auto"/>
            <w:left w:val="none" w:sz="0" w:space="0" w:color="auto"/>
            <w:bottom w:val="none" w:sz="0" w:space="0" w:color="auto"/>
            <w:right w:val="none" w:sz="0" w:space="0" w:color="auto"/>
          </w:divBdr>
        </w:div>
      </w:divsChild>
    </w:div>
    <w:div w:id="297607384">
      <w:bodyDiv w:val="1"/>
      <w:marLeft w:val="0"/>
      <w:marRight w:val="0"/>
      <w:marTop w:val="0"/>
      <w:marBottom w:val="0"/>
      <w:divBdr>
        <w:top w:val="none" w:sz="0" w:space="0" w:color="auto"/>
        <w:left w:val="none" w:sz="0" w:space="0" w:color="auto"/>
        <w:bottom w:val="none" w:sz="0" w:space="0" w:color="auto"/>
        <w:right w:val="none" w:sz="0" w:space="0" w:color="auto"/>
      </w:divBdr>
      <w:divsChild>
        <w:div w:id="2007441054">
          <w:marLeft w:val="0"/>
          <w:marRight w:val="0"/>
          <w:marTop w:val="0"/>
          <w:marBottom w:val="0"/>
          <w:divBdr>
            <w:top w:val="none" w:sz="0" w:space="0" w:color="auto"/>
            <w:left w:val="none" w:sz="0" w:space="0" w:color="auto"/>
            <w:bottom w:val="none" w:sz="0" w:space="0" w:color="auto"/>
            <w:right w:val="none" w:sz="0" w:space="0" w:color="auto"/>
          </w:divBdr>
        </w:div>
        <w:div w:id="1173497637">
          <w:marLeft w:val="0"/>
          <w:marRight w:val="0"/>
          <w:marTop w:val="0"/>
          <w:marBottom w:val="0"/>
          <w:divBdr>
            <w:top w:val="none" w:sz="0" w:space="0" w:color="auto"/>
            <w:left w:val="none" w:sz="0" w:space="0" w:color="auto"/>
            <w:bottom w:val="none" w:sz="0" w:space="0" w:color="auto"/>
            <w:right w:val="none" w:sz="0" w:space="0" w:color="auto"/>
          </w:divBdr>
        </w:div>
        <w:div w:id="402030216">
          <w:marLeft w:val="0"/>
          <w:marRight w:val="0"/>
          <w:marTop w:val="0"/>
          <w:marBottom w:val="0"/>
          <w:divBdr>
            <w:top w:val="none" w:sz="0" w:space="0" w:color="auto"/>
            <w:left w:val="none" w:sz="0" w:space="0" w:color="auto"/>
            <w:bottom w:val="none" w:sz="0" w:space="0" w:color="auto"/>
            <w:right w:val="none" w:sz="0" w:space="0" w:color="auto"/>
          </w:divBdr>
        </w:div>
        <w:div w:id="365915587">
          <w:marLeft w:val="0"/>
          <w:marRight w:val="0"/>
          <w:marTop w:val="0"/>
          <w:marBottom w:val="0"/>
          <w:divBdr>
            <w:top w:val="none" w:sz="0" w:space="0" w:color="auto"/>
            <w:left w:val="none" w:sz="0" w:space="0" w:color="auto"/>
            <w:bottom w:val="none" w:sz="0" w:space="0" w:color="auto"/>
            <w:right w:val="none" w:sz="0" w:space="0" w:color="auto"/>
          </w:divBdr>
        </w:div>
        <w:div w:id="2093312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570940">
          <w:marLeft w:val="0"/>
          <w:marRight w:val="0"/>
          <w:marTop w:val="0"/>
          <w:marBottom w:val="0"/>
          <w:divBdr>
            <w:top w:val="none" w:sz="0" w:space="0" w:color="auto"/>
            <w:left w:val="none" w:sz="0" w:space="0" w:color="auto"/>
            <w:bottom w:val="none" w:sz="0" w:space="0" w:color="auto"/>
            <w:right w:val="none" w:sz="0" w:space="0" w:color="auto"/>
          </w:divBdr>
        </w:div>
        <w:div w:id="1292203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229132">
          <w:marLeft w:val="0"/>
          <w:marRight w:val="0"/>
          <w:marTop w:val="0"/>
          <w:marBottom w:val="0"/>
          <w:divBdr>
            <w:top w:val="none" w:sz="0" w:space="0" w:color="auto"/>
            <w:left w:val="none" w:sz="0" w:space="0" w:color="auto"/>
            <w:bottom w:val="none" w:sz="0" w:space="0" w:color="auto"/>
            <w:right w:val="none" w:sz="0" w:space="0" w:color="auto"/>
          </w:divBdr>
        </w:div>
        <w:div w:id="1149054435">
          <w:marLeft w:val="0"/>
          <w:marRight w:val="0"/>
          <w:marTop w:val="0"/>
          <w:marBottom w:val="0"/>
          <w:divBdr>
            <w:top w:val="none" w:sz="0" w:space="0" w:color="auto"/>
            <w:left w:val="none" w:sz="0" w:space="0" w:color="auto"/>
            <w:bottom w:val="none" w:sz="0" w:space="0" w:color="auto"/>
            <w:right w:val="none" w:sz="0" w:space="0" w:color="auto"/>
          </w:divBdr>
        </w:div>
        <w:div w:id="136265905">
          <w:marLeft w:val="0"/>
          <w:marRight w:val="0"/>
          <w:marTop w:val="0"/>
          <w:marBottom w:val="0"/>
          <w:divBdr>
            <w:top w:val="none" w:sz="0" w:space="0" w:color="auto"/>
            <w:left w:val="none" w:sz="0" w:space="0" w:color="auto"/>
            <w:bottom w:val="none" w:sz="0" w:space="0" w:color="auto"/>
            <w:right w:val="none" w:sz="0" w:space="0" w:color="auto"/>
          </w:divBdr>
        </w:div>
        <w:div w:id="1502308137">
          <w:marLeft w:val="0"/>
          <w:marRight w:val="0"/>
          <w:marTop w:val="0"/>
          <w:marBottom w:val="0"/>
          <w:divBdr>
            <w:top w:val="none" w:sz="0" w:space="0" w:color="auto"/>
            <w:left w:val="none" w:sz="0" w:space="0" w:color="auto"/>
            <w:bottom w:val="none" w:sz="0" w:space="0" w:color="auto"/>
            <w:right w:val="none" w:sz="0" w:space="0" w:color="auto"/>
          </w:divBdr>
        </w:div>
      </w:divsChild>
    </w:div>
    <w:div w:id="603727754">
      <w:bodyDiv w:val="1"/>
      <w:marLeft w:val="0"/>
      <w:marRight w:val="0"/>
      <w:marTop w:val="0"/>
      <w:marBottom w:val="0"/>
      <w:divBdr>
        <w:top w:val="none" w:sz="0" w:space="0" w:color="auto"/>
        <w:left w:val="none" w:sz="0" w:space="0" w:color="auto"/>
        <w:bottom w:val="none" w:sz="0" w:space="0" w:color="auto"/>
        <w:right w:val="none" w:sz="0" w:space="0" w:color="auto"/>
      </w:divBdr>
    </w:div>
    <w:div w:id="1267925328">
      <w:bodyDiv w:val="1"/>
      <w:marLeft w:val="0"/>
      <w:marRight w:val="0"/>
      <w:marTop w:val="0"/>
      <w:marBottom w:val="0"/>
      <w:divBdr>
        <w:top w:val="none" w:sz="0" w:space="0" w:color="auto"/>
        <w:left w:val="none" w:sz="0" w:space="0" w:color="auto"/>
        <w:bottom w:val="none" w:sz="0" w:space="0" w:color="auto"/>
        <w:right w:val="none" w:sz="0" w:space="0" w:color="auto"/>
      </w:divBdr>
    </w:div>
    <w:div w:id="1326280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7AD94639A8A8341A1E1F23FC044F03C" ma:contentTypeVersion="14" ma:contentTypeDescription="Δημιουργία νέου εγγράφου" ma:contentTypeScope="" ma:versionID="61c780fddd61c3ee499a0fe2794a1c85">
  <xsd:schema xmlns:xsd="http://www.w3.org/2001/XMLSchema" xmlns:xs="http://www.w3.org/2001/XMLSchema" xmlns:p="http://schemas.microsoft.com/office/2006/metadata/properties" xmlns:ns2="beaf90c8-c8a8-42c3-a551-9afa7221f529" xmlns:ns3="47ed2232-7eff-43c0-b4e7-47cd7d0c9bfb" targetNamespace="http://schemas.microsoft.com/office/2006/metadata/properties" ma:root="true" ma:fieldsID="9829b2a90444c9a4e844c68c947dc6a8" ns2:_="" ns3:_="">
    <xsd:import namespace="beaf90c8-c8a8-42c3-a551-9afa7221f529"/>
    <xsd:import namespace="47ed2232-7eff-43c0-b4e7-47cd7d0c9b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f90c8-c8a8-42c3-a551-9afa7221f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Ετικέτες εικόνας" ma:readOnly="false" ma:fieldId="{5cf76f15-5ced-4ddc-b409-7134ff3c332f}" ma:taxonomyMulti="true" ma:sspId="d63ae62c-3691-43bd-bde7-6b25f6d97c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d2232-7eff-43c0-b4e7-47cd7d0c9bfb" elementFormDefault="qualified">
    <xsd:import namespace="http://schemas.microsoft.com/office/2006/documentManagement/types"/>
    <xsd:import namespace="http://schemas.microsoft.com/office/infopath/2007/PartnerControls"/>
    <xsd:element name="SharedWithUsers" ma:index="1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Κοινή χρήση με λεπτομέρειες" ma:internalName="SharedWithDetails" ma:readOnly="true">
      <xsd:simpleType>
        <xsd:restriction base="dms:Note">
          <xsd:maxLength value="255"/>
        </xsd:restriction>
      </xsd:simpleType>
    </xsd:element>
    <xsd:element name="TaxCatchAll" ma:index="16" nillable="true" ma:displayName="Taxonomy Catch All Column" ma:hidden="true" ma:list="{5399b0ef-3d27-4ada-b351-d2888f7570f5}" ma:internalName="TaxCatchAll" ma:showField="CatchAllData" ma:web="47ed2232-7eff-43c0-b4e7-47cd7d0c9b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f90c8-c8a8-42c3-a551-9afa7221f529">
      <Terms xmlns="http://schemas.microsoft.com/office/infopath/2007/PartnerControls"/>
    </lcf76f155ced4ddcb4097134ff3c332f>
    <TaxCatchAll xmlns="47ed2232-7eff-43c0-b4e7-47cd7d0c9bfb" xsi:nil="true"/>
  </documentManagement>
</p:properties>
</file>

<file path=customXml/itemProps1.xml><?xml version="1.0" encoding="utf-8"?>
<ds:datastoreItem xmlns:ds="http://schemas.openxmlformats.org/officeDocument/2006/customXml" ds:itemID="{C360A27D-983E-43F5-AD0E-FAABEB8AD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f90c8-c8a8-42c3-a551-9afa7221f529"/>
    <ds:schemaRef ds:uri="47ed2232-7eff-43c0-b4e7-47cd7d0c9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8F47E-8E36-466F-A5EC-3ED9D7F8E376}">
  <ds:schemaRefs>
    <ds:schemaRef ds:uri="http://schemas.microsoft.com/sharepoint/v3/contenttype/forms"/>
  </ds:schemaRefs>
</ds:datastoreItem>
</file>

<file path=customXml/itemProps3.xml><?xml version="1.0" encoding="utf-8"?>
<ds:datastoreItem xmlns:ds="http://schemas.openxmlformats.org/officeDocument/2006/customXml" ds:itemID="{784CD77C-7532-41A0-B617-16B179D66C4F}">
  <ds:schemaRefs>
    <ds:schemaRef ds:uri="http://schemas.microsoft.com/office/2006/metadata/properties"/>
    <ds:schemaRef ds:uri="http://schemas.microsoft.com/office/infopath/2007/PartnerControls"/>
    <ds:schemaRef ds:uri="beaf90c8-c8a8-42c3-a551-9afa7221f529"/>
    <ds:schemaRef ds:uri="47ed2232-7eff-43c0-b4e7-47cd7d0c9b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814</Words>
  <Characters>4646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Thanos Arvanitis</dc:creator>
  <cp:lastModifiedBy>Athanasios Arvanitis</cp:lastModifiedBy>
  <cp:revision>7</cp:revision>
  <dcterms:created xsi:type="dcterms:W3CDTF">2025-06-25T12:37:00Z</dcterms:created>
  <dcterms:modified xsi:type="dcterms:W3CDTF">2025-06-30T16:00:00Z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0x01010047AD94639A8A8341A1E1F23FC044F03C</vt:lpwstr>
  </property>
</Properties>
</file>